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13"/>
              <w:bidi w:val="0"/>
              <w:spacing w:before="240"/>
            </w:pPr>
            <w:r>
              <w:rPr>
                <w:sz w:val="40"/>
              </w:rPr>
              <w:t>CROP ESTIMATES COMMITTEE</w:t>
            </w:r>
          </w:p>
        </w:tc>
        <w:tc>
          <w:tcPr>
            <w:tcW w:w="3240" w:type="dxa"/>
            <w:shd w:val="clear" w:color="auto" w:fill="FFFFFF"/>
          </w:tcPr>
          <w:p>
            <w:pPr>
              <w:pStyle w:val="13"/>
              <w:bidi w:val="0"/>
              <w:spacing w:before="240"/>
            </w:pPr>
            <w:r>
              <w:rPr>
                <w:b w:val="0"/>
                <w:sz w:val="24"/>
              </w:rPr>
              <w:t/>
            </w:r>
          </w:p>
          <w:p>
            <w:pPr>
              <w:jc w:val="both"/>
              <w:bidi w:val="0"/>
              <w:spacing w:before="195" w:after="45"/>
            </w:pPr>
            <w:r>
              <w:rPr>
                <w:rFonts w:ascii="Tahoma" w:hAnsi="Tahoma" w:cs="Tahoma" w:eastAsia="Tahoma"/>
                <w:sz w:val="20"/>
              </w:rPr>
              <w:t>Private Bag/</w:t>
            </w:r>
          </w:p>
          <w:p>
            <w:pPr>
              <w:jc w:val="both"/>
              <w:bidi w:val="0"/>
              <w:spacing w:after="45"/>
            </w:pPr>
            <w:r>
              <w:rPr>
                <w:rFonts w:ascii="Tahoma" w:hAnsi="Tahoma" w:cs="Tahoma" w:eastAsia="Tahoma"/>
                <w:sz w:val="20"/>
              </w:rPr>
              <w:t>Privaatsak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13"/>
              <w:bidi w:val="0"/>
            </w:pPr>
            <w:r>
              <w:rPr>
                <w:sz w:val="40"/>
              </w:rPr>
              <w:t>OESSKATTINGSKOMITEE</w:t>
            </w:r>
          </w:p>
        </w:tc>
        <w:tc>
          <w:tcPr>
            <w:tcW w:w="3240" w:type="dxa"/>
            <w:shd w:val="clear" w:color="auto" w:fill="FFFFFF"/>
          </w:tcPr>
          <w:p>
            <w:pPr>
              <w:pStyle w:val="13"/>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From/Van:</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Fax/Faks:</w:t>
            </w:r>
            <w:r>
              <w:rPr>
                <w:rFonts w:ascii="Tahoma" w:hAnsi="Tahoma" w:cs="Tahoma" w:eastAsia="Tahoma"/>
                <w:sz w:val="16"/>
              </w:rPr>
              <w:t xml:space="preserve"> 012  319 6211   </w:t>
            </w:r>
            <w:r>
              <w:rPr>
                <w:rFonts w:ascii="Tahoma" w:hAnsi="Tahoma" w:cs="Tahoma" w:eastAsia="Tahoma"/>
                <w:b/>
                <w:sz w:val="16"/>
              </w:rPr>
              <w:t>E-mail/E-pos:</w:t>
            </w:r>
            <w:r>
              <w:rPr>
                <w:rFonts w:ascii="Tahoma" w:hAnsi="Tahoma" w:cs="Tahoma" w:eastAsia="Tahoma"/>
                <w:sz w:val="16"/>
              </w:rPr>
              <w:t xml:space="preserve"> CDESS@daff.gov.za</w:t>
            </w:r>
          </w:p>
          <w:p>
            <w:pPr>
              <w:jc w:val="center"/>
              <w:bidi w:val="0"/>
              <w:spacing w:after="75"/>
            </w:pPr>
            <w:r>
              <w:rPr>
                <w:rFonts w:ascii="Tahoma" w:hAnsi="Tahoma" w:cs="Tahoma" w:eastAsia="Tahoma"/>
                <w:sz w:val="16"/>
              </w:rPr>
              <w:t xml:space="preserve">Web page/Webblad: </w:t>
            </w:r>
            <w:hyperlink r:id="hrId1">
              <w:r>
                <w:rPr>
                  <w:rFonts w:ascii="Tahoma" w:hAnsi="Tahoma" w:cs="Tahoma" w:eastAsia="Tahoma"/>
                  <w:sz w:val="16"/>
                </w:rPr>
                <w:t>www.daff.gov.za/crop estimates</w:t>
              </w:r>
            </w:hyperlink>
            <w:r>
              <w:rPr>
                <w:rFonts w:ascii="Tahoma" w:hAnsi="Tahoma" w:cs="Tahoma" w:eastAsia="Tahoma"/>
                <w:sz w:val="16"/>
              </w:rPr>
              <w:t xml:space="preserve">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45"/>
      </w:pPr>
      <w:r>
        <w:rPr>
          <w:rFonts w:ascii="Tahoma" w:hAnsi="Tahoma" w:cs="Tahoma" w:eastAsia="Tahoma"/>
          <w:sz w:val="20"/>
        </w:rPr>
        <w:t>17 December/ Desember 2009</w:t>
      </w:r>
    </w:p>
    <w:p>
      <w:pPr>
        <w:pStyle w:val="28"/>
        <w:jc w:val="left"/>
        <w:ind w:right="-60"/>
        <w:bidi w:val="0"/>
        <w:spacing w:after="60"/>
      </w:pPr>
      <w:r>
        <w:rPr>
          <w:b/>
          <w:sz w:val="14"/>
        </w:rPr>
        <w:t>WINTER CEREALS</w:t>
      </w:r>
      <w:r>
        <w:rPr>
          <w:sz w:val="14"/>
        </w:rPr>
        <w:t xml:space="preserve"> – AREA PLANTED AND FIFTH PRODUCTION FORECAST: 2009 PRODUCTION SEASON</w:t>
      </w:r>
    </w:p>
    <w:p>
      <w:pPr>
        <w:pStyle w:val="28"/>
        <w:jc w:val="left"/>
        <w:ind w:right="-60"/>
        <w:bidi w:val="0"/>
        <w:spacing w:after="120"/>
      </w:pPr>
      <w:r>
        <w:rPr>
          <w:u w:val="none"/>
        </w:rPr>
        <w:t/>
      </w:r>
    </w:p>
    <w:p>
      <w:pPr>
        <w:bidi w:val="0"/>
      </w:pPr>
      <w:r>
        <w:rPr>
          <w:rFonts w:ascii="Tahoma" w:hAnsi="Tahoma" w:cs="Tahoma" w:eastAsia="Tahoma"/>
          <w:b/>
          <w:sz w:val="14"/>
        </w:rPr>
        <w:t>WINTERGEWASSE</w:t>
      </w:r>
      <w:r>
        <w:rPr>
          <w:rFonts w:ascii="Tahoma" w:hAnsi="Tahoma" w:cs="Tahoma" w:eastAsia="Tahoma"/>
          <w:sz w:val="14"/>
        </w:rPr>
        <w:t xml:space="preserve"> – OPPERVLAK- EN VYFDE PRODUKSIESKATTING: 2009-PRODUKSIESEISOEN</w:t>
      </w:r>
      <w:r>
        <w:rPr>
          <w:rFonts w:ascii="Tahoma" w:hAnsi="Tahoma" w:cs="Tahoma" w:eastAsia="Tahoma"/>
          <w:u w:val="single"/>
          <w:sz w:val="14"/>
        </w:rPr>
        <w:t xml:space="preserve"> </w:t>
      </w:r>
    </w:p>
    <w:p>
      <w:pPr>
        <w:bidi w:val="0"/>
      </w:pPr>
      <w:r>
        <w:rPr>
          <w:rFonts w:ascii="Tahoma" w:hAnsi="Tahoma" w:cs="Tahoma" w:eastAsia="Tahoma"/>
        </w:rPr>
        <w:t/>
      </w:r>
    </w:p>
    <w:tbl>
      <w:tblPr>
        <w:tblW w:w="8800" w:type="dxa"/>
        <w:tblLayout w:type="fixed"/>
        <w:tblCellMar>
          <w:top w:w="0" w:type="dxa"/>
          <w:left w:w="0" w:type="dxa"/>
          <w:bottom w:w="0" w:type="dxa"/>
          <w:right w:w="0" w:type="dxa"/>
        </w:tblCellMar>
        <w:tblInd w:w="-105" w:type="dxa"/>
      </w:tblPr>
      <w:tblGrid>
        <w:gridCol w:w="2115"/>
        <w:gridCol w:w="1275"/>
        <w:gridCol w:w="1140"/>
        <w:gridCol w:w="1140"/>
        <w:gridCol w:w="1140"/>
        <w:gridCol w:w="990"/>
        <w:gridCol w:w="990"/>
      </w:tblGrid>
      <w:tr>
        <w:tc>
          <w:tcPr>
            <w:tcW w:w="2120" w:type="dxa"/>
            <w:shd w:val="clear" w:color="auto" w:fill="FFFFFF"/>
          </w:tcPr>
          <w:p>
            <w:pPr>
              <w:pStyle w:val="28"/>
              <w:jc w:val="both"/>
              <w:ind w:right="-60"/>
              <w:bidi w:val="0"/>
            </w:pPr>
            <w:r>
              <w:rPr>
                <w:sz w:val="14"/>
              </w:rPr>
              <w:t>CROP/GEWAS</w:t>
            </w:r>
          </w:p>
        </w:tc>
        <w:tc>
          <w:tcPr>
            <w:tcW w:w="1280" w:type="dxa"/>
            <w:shd w:val="clear" w:color="auto" w:fill="FFFFFF"/>
          </w:tcPr>
          <w:p>
            <w:pPr>
              <w:pStyle w:val="28"/>
              <w:jc w:val="both"/>
              <w:ind w:right="-60"/>
              <w:bidi w:val="0"/>
            </w:pPr>
            <w:r>
              <w:rPr>
                <w:u w:val="none"/>
              </w:rPr>
              <w:t/>
            </w:r>
          </w:p>
          <w:p>
            <w:pPr>
              <w:pStyle w:val="28"/>
              <w:ind w:right="-60"/>
              <w:bidi w:val="0"/>
              <w:spacing w:before="60"/>
            </w:pPr>
            <w:r>
              <w:rPr>
                <w:b/>
                <w:sz w:val="14"/>
              </w:rPr>
              <w:t>Area planted/</w:t>
            </w:r>
          </w:p>
          <w:p>
            <w:pPr>
              <w:pStyle w:val="28"/>
              <w:ind w:right="-60"/>
              <w:bidi w:val="0"/>
            </w:pPr>
            <w:r>
              <w:rPr>
                <w:b/>
                <w:sz w:val="14"/>
              </w:rPr>
              <w:t>Opp beplant</w:t>
            </w:r>
          </w:p>
          <w:p>
            <w:pPr>
              <w:pStyle w:val="28"/>
              <w:ind w:right="-60"/>
              <w:bidi w:val="0"/>
            </w:pPr>
            <w:r>
              <w:rPr>
                <w:b/>
                <w:sz w:val="14"/>
              </w:rPr>
              <w:t>2009</w:t>
            </w:r>
          </w:p>
        </w:tc>
        <w:tc>
          <w:tcPr>
            <w:tcW w:w="1140" w:type="dxa"/>
            <w:shd w:val="clear" w:color="auto" w:fill="FFFFFF"/>
          </w:tcPr>
          <w:p>
            <w:pPr>
              <w:pStyle w:val="28"/>
              <w:ind w:right="-60"/>
              <w:bidi w:val="0"/>
            </w:pPr>
            <w:r>
              <w:rPr>
                <w:u w:val="none"/>
              </w:rPr>
              <w:t/>
            </w:r>
          </w:p>
          <w:p>
            <w:pPr>
              <w:pStyle w:val="28"/>
              <w:ind w:right="-60"/>
              <w:bidi w:val="0"/>
              <w:spacing w:before="60"/>
            </w:pPr>
            <w:r>
              <w:rPr>
                <w:b/>
                <w:sz w:val="14"/>
              </w:rPr>
              <w:t>5</w:t>
            </w:r>
            <w:r>
              <w:rPr>
                <w:b/>
                <w:vertAlign w:val="superscript"/>
                <w:sz w:val="14"/>
              </w:rPr>
              <w:t>th</w:t>
            </w:r>
            <w:r>
              <w:rPr>
                <w:b/>
                <w:sz w:val="14"/>
              </w:rPr>
              <w:t xml:space="preserve"> forecast/</w:t>
            </w:r>
          </w:p>
          <w:p>
            <w:pPr>
              <w:pStyle w:val="28"/>
              <w:ind w:right="-60"/>
              <w:bidi w:val="0"/>
            </w:pPr>
            <w:r>
              <w:rPr>
                <w:b/>
                <w:sz w:val="14"/>
              </w:rPr>
              <w:t>5</w:t>
            </w:r>
            <w:r>
              <w:rPr>
                <w:b/>
                <w:vertAlign w:val="superscript"/>
                <w:sz w:val="14"/>
              </w:rPr>
              <w:t>de</w:t>
            </w:r>
            <w:r>
              <w:rPr>
                <w:b/>
                <w:sz w:val="14"/>
              </w:rPr>
              <w:t xml:space="preserve"> skatting</w:t>
            </w:r>
          </w:p>
          <w:p>
            <w:pPr>
              <w:pStyle w:val="28"/>
              <w:ind w:right="-60"/>
              <w:bidi w:val="0"/>
              <w:spacing w:before="60"/>
            </w:pPr>
            <w:r>
              <w:rPr>
                <w:b/>
                <w:sz w:val="14"/>
              </w:rPr>
              <w:t>2009</w:t>
            </w:r>
          </w:p>
        </w:tc>
        <w:tc>
          <w:tcPr>
            <w:tcW w:w="1140" w:type="dxa"/>
            <w:shd w:val="clear" w:color="auto" w:fill="FFFFFF"/>
          </w:tcPr>
          <w:p>
            <w:pPr>
              <w:pStyle w:val="28"/>
              <w:ind w:right="-60"/>
              <w:bidi w:val="0"/>
              <w:spacing w:before="60"/>
            </w:pPr>
            <w:r>
              <w:rPr>
                <w:u w:val="none"/>
              </w:rPr>
              <w:t/>
            </w:r>
          </w:p>
          <w:p>
            <w:pPr>
              <w:pStyle w:val="28"/>
              <w:ind w:right="-60"/>
              <w:bidi w:val="0"/>
              <w:spacing w:before="60"/>
            </w:pPr>
            <w:r>
              <w:rPr>
                <w:sz w:val="14"/>
              </w:rPr>
              <w:t>4</w:t>
            </w:r>
            <w:r>
              <w:rPr>
                <w:vertAlign w:val="superscript"/>
                <w:sz w:val="14"/>
              </w:rPr>
              <w:t>th</w:t>
            </w:r>
            <w:r>
              <w:rPr>
                <w:sz w:val="14"/>
              </w:rPr>
              <w:t xml:space="preserve"> forecast/</w:t>
            </w:r>
          </w:p>
          <w:p>
            <w:pPr>
              <w:pStyle w:val="28"/>
              <w:ind w:right="-60"/>
              <w:bidi w:val="0"/>
            </w:pPr>
            <w:r>
              <w:rPr>
                <w:sz w:val="14"/>
              </w:rPr>
              <w:t>4</w:t>
            </w:r>
            <w:r>
              <w:rPr>
                <w:vertAlign w:val="superscript"/>
                <w:sz w:val="14"/>
              </w:rPr>
              <w:t>de</w:t>
            </w:r>
            <w:r>
              <w:rPr>
                <w:sz w:val="14"/>
              </w:rPr>
              <w:t xml:space="preserve"> skatting</w:t>
            </w:r>
          </w:p>
          <w:p>
            <w:pPr>
              <w:pStyle w:val="28"/>
              <w:ind w:right="-60"/>
              <w:bidi w:val="0"/>
              <w:spacing w:before="60"/>
            </w:pPr>
            <w:r>
              <w:rPr>
                <w:sz w:val="14"/>
              </w:rPr>
              <w:t>2009</w:t>
            </w:r>
          </w:p>
        </w:tc>
        <w:tc>
          <w:tcPr>
            <w:tcW w:w="1140" w:type="dxa"/>
            <w:shd w:val="clear" w:color="auto" w:fill="FFFFFF"/>
          </w:tcPr>
          <w:p>
            <w:pPr>
              <w:pStyle w:val="28"/>
              <w:ind w:right="-60"/>
              <w:bidi w:val="0"/>
              <w:spacing w:before="60"/>
            </w:pPr>
            <w:r>
              <w:rPr>
                <w:u w:val="none"/>
              </w:rPr>
              <w:t/>
            </w:r>
          </w:p>
          <w:p>
            <w:pPr>
              <w:pStyle w:val="28"/>
              <w:ind w:right="-60"/>
              <w:bidi w:val="0"/>
              <w:spacing w:before="60"/>
            </w:pPr>
            <w:r>
              <w:rPr>
                <w:sz w:val="14"/>
              </w:rPr>
              <w:t>Area planted/</w:t>
            </w:r>
          </w:p>
          <w:p>
            <w:pPr>
              <w:pStyle w:val="28"/>
              <w:ind w:right="-60"/>
              <w:bidi w:val="0"/>
            </w:pPr>
            <w:r>
              <w:rPr>
                <w:sz w:val="14"/>
              </w:rPr>
              <w:t>Opp beplant</w:t>
            </w:r>
          </w:p>
          <w:p>
            <w:pPr>
              <w:pStyle w:val="28"/>
              <w:ind w:right="-60"/>
              <w:bidi w:val="0"/>
            </w:pPr>
            <w:r>
              <w:rPr>
                <w:sz w:val="14"/>
              </w:rPr>
              <w:t>2008</w:t>
            </w:r>
          </w:p>
        </w:tc>
        <w:tc>
          <w:tcPr>
            <w:tcW w:w="990" w:type="dxa"/>
            <w:shd w:val="clear" w:color="auto" w:fill="FFFFFF"/>
          </w:tcPr>
          <w:p>
            <w:pPr>
              <w:pStyle w:val="28"/>
              <w:ind w:right="-60"/>
              <w:bidi w:val="0"/>
            </w:pPr>
            <w:r>
              <w:rPr>
                <w:u w:val="none"/>
              </w:rPr>
              <w:t/>
            </w:r>
          </w:p>
          <w:p>
            <w:pPr>
              <w:pStyle w:val="28"/>
              <w:ind w:right="-60"/>
              <w:bidi w:val="0"/>
              <w:spacing w:before="60"/>
            </w:pPr>
            <w:r>
              <w:rPr>
                <w:sz w:val="14"/>
              </w:rPr>
              <w:t>Final crop/</w:t>
            </w:r>
          </w:p>
          <w:p>
            <w:pPr>
              <w:pStyle w:val="28"/>
              <w:ind w:right="-60"/>
              <w:bidi w:val="0"/>
            </w:pPr>
            <w:r>
              <w:rPr>
                <w:sz w:val="14"/>
              </w:rPr>
              <w:t>Finale oes</w:t>
            </w:r>
          </w:p>
          <w:p>
            <w:pPr>
              <w:pStyle w:val="28"/>
              <w:ind w:right="-60"/>
              <w:bidi w:val="0"/>
            </w:pPr>
            <w:r>
              <w:rPr>
                <w:sz w:val="14"/>
              </w:rPr>
              <w:t>2008</w:t>
            </w:r>
          </w:p>
        </w:tc>
        <w:tc>
          <w:tcPr>
            <w:tcW w:w="990" w:type="dxa"/>
            <w:shd w:val="clear" w:color="auto" w:fill="FFFFFF"/>
          </w:tcPr>
          <w:p>
            <w:pPr>
              <w:pStyle w:val="28"/>
              <w:ind w:right="-60"/>
              <w:bidi w:val="0"/>
            </w:pPr>
            <w:r>
              <w:rPr>
                <w:u w:val="none"/>
              </w:rPr>
              <w:t/>
            </w:r>
          </w:p>
          <w:p>
            <w:pPr>
              <w:pStyle w:val="28"/>
              <w:ind w:right="-105"/>
              <w:bidi w:val="0"/>
            </w:pPr>
            <w:r>
              <w:rPr>
                <w:sz w:val="14"/>
              </w:rPr>
              <w:t>Change/</w:t>
            </w:r>
          </w:p>
          <w:p>
            <w:pPr>
              <w:pStyle w:val="28"/>
              <w:ind w:right="-105"/>
              <w:bidi w:val="0"/>
            </w:pPr>
            <w:r>
              <w:rPr>
                <w:sz w:val="14"/>
              </w:rPr>
              <w:t>Verandering</w:t>
            </w:r>
          </w:p>
        </w:tc>
      </w:tr>
      <w:tr>
        <w:tc>
          <w:tcPr>
            <w:tcW w:w="2120" w:type="dxa"/>
            <w:shd w:val="clear" w:color="auto" w:fill="FFFFFF"/>
          </w:tcPr>
          <w:p>
            <w:pPr>
              <w:pStyle w:val="28"/>
              <w:ind w:right="-105"/>
              <w:bidi w:val="0"/>
            </w:pPr>
            <w:r>
              <w:rPr>
                <w:u w:val="none"/>
              </w:rPr>
              <w:t/>
            </w:r>
          </w:p>
          <w:p>
            <w:pPr>
              <w:pStyle w:val="28"/>
              <w:jc w:val="both"/>
              <w:ind w:right="-60"/>
              <w:bidi w:val="0"/>
            </w:pPr>
            <w:r>
              <w:rPr>
                <w:u w:val="none"/>
              </w:rPr>
              <w:t/>
            </w:r>
          </w:p>
        </w:tc>
        <w:tc>
          <w:tcPr>
            <w:tcW w:w="1280" w:type="dxa"/>
            <w:shd w:val="clear" w:color="auto" w:fill="FFFFFF"/>
          </w:tcPr>
          <w:p>
            <w:pPr>
              <w:pStyle w:val="28"/>
              <w:ind w:right="-60"/>
              <w:bidi w:val="0"/>
              <w:spacing w:before="15" w:after="15"/>
            </w:pPr>
            <w:r>
              <w:rPr>
                <w:b/>
                <w:sz w:val="14"/>
              </w:rPr>
              <w:t>Ha</w:t>
            </w:r>
          </w:p>
        </w:tc>
        <w:tc>
          <w:tcPr>
            <w:tcW w:w="1140" w:type="dxa"/>
            <w:shd w:val="clear" w:color="auto" w:fill="FFFFFF"/>
          </w:tcPr>
          <w:p>
            <w:pPr>
              <w:pStyle w:val="28"/>
              <w:ind w:right="-60"/>
              <w:bidi w:val="0"/>
              <w:spacing w:before="15" w:after="15"/>
            </w:pPr>
            <w:r>
              <w:rPr>
                <w:u w:val="none"/>
              </w:rPr>
              <w:t/>
            </w:r>
          </w:p>
          <w:p>
            <w:pPr>
              <w:pStyle w:val="28"/>
              <w:ind w:right="-60"/>
              <w:bidi w:val="0"/>
              <w:spacing w:before="15" w:after="15"/>
            </w:pPr>
            <w:r>
              <w:rPr>
                <w:b/>
                <w:sz w:val="14"/>
              </w:rPr>
              <w:t>Tons</w:t>
            </w:r>
          </w:p>
        </w:tc>
        <w:tc>
          <w:tcPr>
            <w:tcW w:w="1140" w:type="dxa"/>
            <w:shd w:val="clear" w:color="auto" w:fill="FFFFFF"/>
          </w:tcPr>
          <w:p>
            <w:pPr>
              <w:pStyle w:val="28"/>
              <w:ind w:right="-60"/>
              <w:bidi w:val="0"/>
              <w:spacing w:before="15" w:after="15"/>
            </w:pPr>
            <w:r>
              <w:rPr>
                <w:u w:val="none"/>
              </w:rPr>
              <w:t/>
            </w:r>
          </w:p>
          <w:p>
            <w:pPr>
              <w:pStyle w:val="28"/>
              <w:ind w:right="-60"/>
              <w:bidi w:val="0"/>
              <w:spacing w:before="15" w:after="15"/>
            </w:pPr>
            <w:r>
              <w:rPr>
                <w:sz w:val="14"/>
              </w:rPr>
              <w:t>Tons</w:t>
            </w:r>
          </w:p>
        </w:tc>
        <w:tc>
          <w:tcPr>
            <w:tcW w:w="1140" w:type="dxa"/>
            <w:shd w:val="clear" w:color="auto" w:fill="FFFFFF"/>
          </w:tcPr>
          <w:p>
            <w:pPr>
              <w:pStyle w:val="28"/>
              <w:ind w:right="-60"/>
              <w:bidi w:val="0"/>
              <w:spacing w:before="15" w:after="15"/>
            </w:pPr>
            <w:r>
              <w:rPr>
                <w:u w:val="none"/>
              </w:rPr>
              <w:t/>
            </w:r>
          </w:p>
          <w:p>
            <w:pPr>
              <w:pStyle w:val="28"/>
              <w:ind w:right="-60"/>
              <w:bidi w:val="0"/>
              <w:spacing w:before="15" w:after="15"/>
            </w:pPr>
            <w:r>
              <w:rPr>
                <w:sz w:val="14"/>
              </w:rPr>
              <w:t>Ha</w:t>
            </w:r>
          </w:p>
        </w:tc>
        <w:tc>
          <w:tcPr>
            <w:tcW w:w="990" w:type="dxa"/>
            <w:shd w:val="clear" w:color="auto" w:fill="FFFFFF"/>
          </w:tcPr>
          <w:p>
            <w:pPr>
              <w:pStyle w:val="28"/>
              <w:ind w:right="-60"/>
              <w:bidi w:val="0"/>
              <w:spacing w:before="15" w:after="15"/>
            </w:pPr>
            <w:r>
              <w:rPr>
                <w:u w:val="none"/>
              </w:rPr>
              <w:t/>
            </w:r>
          </w:p>
          <w:p>
            <w:pPr>
              <w:pStyle w:val="28"/>
              <w:ind w:right="-60"/>
              <w:bidi w:val="0"/>
              <w:spacing w:before="15" w:after="15"/>
            </w:pPr>
            <w:r>
              <w:rPr>
                <w:sz w:val="14"/>
              </w:rPr>
              <w:t>Tons</w:t>
            </w:r>
          </w:p>
        </w:tc>
        <w:tc>
          <w:tcPr>
            <w:tcW w:w="990" w:type="dxa"/>
            <w:shd w:val="clear" w:color="auto" w:fill="FFFFFF"/>
          </w:tcPr>
          <w:p>
            <w:pPr>
              <w:pStyle w:val="28"/>
              <w:ind w:right="-60"/>
              <w:bidi w:val="0"/>
              <w:spacing w:before="15" w:after="15"/>
            </w:pPr>
            <w:r>
              <w:rPr>
                <w:u w:val="none"/>
              </w:rPr>
              <w:t/>
            </w:r>
          </w:p>
          <w:p>
            <w:pPr>
              <w:pStyle w:val="28"/>
              <w:ind w:right="-60"/>
              <w:bidi w:val="0"/>
            </w:pPr>
            <w:r>
              <w:rPr>
                <w:sz w:val="14"/>
              </w:rPr>
              <w:t>%</w:t>
            </w:r>
          </w:p>
        </w:tc>
      </w:tr>
      <w:tr>
        <w:tc>
          <w:tcPr>
            <w:tcW w:w="2120" w:type="dxa"/>
            <w:shd w:val="clear" w:color="auto" w:fill="FFFFFF"/>
          </w:tcPr>
          <w:p>
            <w:pPr>
              <w:pStyle w:val="28"/>
              <w:ind w:right="-60"/>
              <w:bidi w:val="0"/>
            </w:pPr>
            <w:r>
              <w:rPr>
                <w:u w:val="none"/>
              </w:rPr>
              <w:t/>
            </w:r>
          </w:p>
          <w:p>
            <w:pPr>
              <w:pStyle w:val="28"/>
              <w:jc w:val="both"/>
              <w:ind w:right="-60"/>
              <w:bidi w:val="0"/>
            </w:pPr>
            <w:r>
              <w:rPr>
                <w:u w:val="none"/>
              </w:rPr>
              <w:t/>
            </w:r>
          </w:p>
        </w:tc>
        <w:tc>
          <w:tcPr>
            <w:tcW w:w="1280" w:type="dxa"/>
            <w:shd w:val="clear" w:color="auto" w:fill="FFFFFF"/>
          </w:tcPr>
          <w:p>
            <w:pPr>
              <w:pStyle w:val="28"/>
              <w:ind w:right="-60"/>
              <w:bidi w:val="0"/>
              <w:spacing w:before="45" w:after="45"/>
            </w:pPr>
            <w:r>
              <w:rPr>
                <w:b/>
                <w:sz w:val="14"/>
              </w:rPr>
              <w:t>(A)</w:t>
            </w:r>
          </w:p>
        </w:tc>
        <w:tc>
          <w:tcPr>
            <w:tcW w:w="1140" w:type="dxa"/>
            <w:shd w:val="clear" w:color="auto" w:fill="FFFFFF"/>
          </w:tcPr>
          <w:p>
            <w:pPr>
              <w:pStyle w:val="28"/>
              <w:ind w:right="-60"/>
              <w:bidi w:val="0"/>
              <w:spacing w:before="45" w:after="45"/>
            </w:pPr>
            <w:r>
              <w:rPr>
                <w:u w:val="none"/>
              </w:rPr>
              <w:t/>
            </w:r>
          </w:p>
          <w:p>
            <w:pPr>
              <w:pStyle w:val="28"/>
              <w:ind w:right="-60"/>
              <w:bidi w:val="0"/>
              <w:spacing w:before="15" w:after="15"/>
            </w:pPr>
            <w:r>
              <w:rPr>
                <w:b/>
                <w:sz w:val="14"/>
              </w:rPr>
              <w:t>(B)</w:t>
            </w:r>
          </w:p>
        </w:tc>
        <w:tc>
          <w:tcPr>
            <w:tcW w:w="1140" w:type="dxa"/>
            <w:shd w:val="clear" w:color="auto" w:fill="FFFFFF"/>
          </w:tcPr>
          <w:p>
            <w:pPr>
              <w:pStyle w:val="28"/>
              <w:ind w:right="-60"/>
              <w:bidi w:val="0"/>
              <w:spacing w:before="15" w:after="15"/>
            </w:pPr>
            <w:r>
              <w:rPr>
                <w:u w:val="none"/>
              </w:rPr>
              <w:t/>
            </w:r>
          </w:p>
          <w:p>
            <w:pPr>
              <w:pStyle w:val="28"/>
              <w:ind w:right="-60"/>
              <w:bidi w:val="0"/>
              <w:spacing w:before="15" w:after="15"/>
            </w:pPr>
            <w:r>
              <w:rPr>
                <w:sz w:val="14"/>
              </w:rPr>
              <w:t>(C)</w:t>
            </w:r>
          </w:p>
        </w:tc>
        <w:tc>
          <w:tcPr>
            <w:tcW w:w="1140" w:type="dxa"/>
            <w:shd w:val="clear" w:color="auto" w:fill="FFFFFF"/>
          </w:tcPr>
          <w:p>
            <w:pPr>
              <w:pStyle w:val="28"/>
              <w:ind w:right="-60"/>
              <w:bidi w:val="0"/>
              <w:spacing w:before="15" w:after="15"/>
            </w:pPr>
            <w:r>
              <w:rPr>
                <w:u w:val="none"/>
              </w:rPr>
              <w:t/>
            </w:r>
          </w:p>
          <w:p>
            <w:pPr>
              <w:pStyle w:val="28"/>
              <w:ind w:right="-60"/>
              <w:bidi w:val="0"/>
              <w:spacing w:before="45" w:after="45"/>
            </w:pPr>
            <w:r>
              <w:rPr>
                <w:sz w:val="14"/>
              </w:rPr>
              <w:t>(D)</w:t>
            </w:r>
          </w:p>
        </w:tc>
        <w:tc>
          <w:tcPr>
            <w:tcW w:w="990" w:type="dxa"/>
            <w:shd w:val="clear" w:color="auto" w:fill="FFFFFF"/>
          </w:tcPr>
          <w:p>
            <w:pPr>
              <w:pStyle w:val="28"/>
              <w:ind w:right="-60"/>
              <w:bidi w:val="0"/>
              <w:spacing w:before="45" w:after="45"/>
            </w:pPr>
            <w:r>
              <w:rPr>
                <w:u w:val="none"/>
              </w:rPr>
              <w:t/>
            </w:r>
          </w:p>
          <w:p>
            <w:pPr>
              <w:pStyle w:val="28"/>
              <w:ind w:right="-60"/>
              <w:bidi w:val="0"/>
              <w:spacing w:before="45" w:after="45"/>
            </w:pPr>
            <w:r>
              <w:rPr>
                <w:sz w:val="14"/>
              </w:rPr>
              <w:t>(E)</w:t>
            </w:r>
          </w:p>
        </w:tc>
        <w:tc>
          <w:tcPr>
            <w:tcW w:w="990" w:type="dxa"/>
            <w:shd w:val="clear" w:color="auto" w:fill="FFFFFF"/>
          </w:tcPr>
          <w:p>
            <w:pPr>
              <w:pStyle w:val="28"/>
              <w:ind w:right="-60"/>
              <w:bidi w:val="0"/>
              <w:spacing w:before="45" w:after="45"/>
            </w:pPr>
            <w:r>
              <w:rPr>
                <w:u w:val="none"/>
              </w:rPr>
              <w:t/>
            </w:r>
          </w:p>
          <w:p>
            <w:pPr>
              <w:pStyle w:val="28"/>
              <w:ind w:right="-60"/>
              <w:bidi w:val="0"/>
              <w:spacing w:before="45" w:after="45"/>
            </w:pPr>
            <w:r>
              <w:rPr>
                <w:sz w:val="14"/>
              </w:rPr>
              <w:t>(B) ÷ (C)</w:t>
            </w:r>
          </w:p>
        </w:tc>
      </w:tr>
      <w:tr>
        <w:tc>
          <w:tcPr>
            <w:tcW w:w="8800" w:type="dxa"/>
            <w:gridSpan w:val="7"/>
            <w:shd w:val="clear" w:color="auto" w:fill="FFFFFF"/>
          </w:tcPr>
          <w:p>
            <w:pPr>
              <w:pStyle w:val="28"/>
              <w:ind w:right="-60"/>
              <w:bidi w:val="0"/>
              <w:spacing w:before="45" w:after="45"/>
            </w:pPr>
            <w:r>
              <w:rPr>
                <w:u w:val="none"/>
              </w:rPr>
              <w:t/>
            </w:r>
          </w:p>
          <w:p>
            <w:pPr>
              <w:ind w:right="105"/>
              <w:bidi w:val="0"/>
              <w:spacing w:before="45" w:after="45"/>
            </w:pPr>
            <w:r>
              <w:rPr>
                <w:rFonts w:ascii="Tahoma" w:hAnsi="Tahoma" w:cs="Tahoma" w:eastAsia="Tahoma"/>
                <w:sz w:val="14"/>
              </w:rPr>
              <w:t>Commercial/Kommersieel:</w:t>
            </w:r>
          </w:p>
        </w:tc>
      </w:tr>
      <w:tr>
        <w:tc>
          <w:tcPr>
            <w:tcW w:w="2120" w:type="dxa"/>
            <w:shd w:val="clear" w:color="auto" w:fill="FFFFFF"/>
          </w:tcPr>
          <w:p>
            <w:pPr>
              <w:ind w:right="105"/>
              <w:bidi w:val="0"/>
              <w:spacing w:before="45" w:after="45"/>
            </w:pPr>
            <w:r>
              <w:rPr>
                <w:rFonts w:ascii="Tahoma" w:hAnsi="Tahoma" w:cs="Tahoma" w:eastAsia="Tahoma"/>
              </w:rPr>
              <w:t/>
            </w:r>
          </w:p>
          <w:p>
            <w:pPr>
              <w:pStyle w:val="28"/>
              <w:jc w:val="left"/>
              <w:ind w:right="75"/>
              <w:bidi w:val="0"/>
              <w:spacing w:before="45" w:after="45"/>
            </w:pPr>
            <w:r>
              <w:rPr>
                <w:sz w:val="14"/>
              </w:rPr>
              <w:t>Wheat/Koring</w:t>
            </w:r>
          </w:p>
        </w:tc>
        <w:tc>
          <w:tcPr>
            <w:tcW w:w="1280" w:type="dxa"/>
            <w:shd w:val="clear" w:color="auto" w:fill="FFFFFF"/>
          </w:tcPr>
          <w:p>
            <w:pPr>
              <w:pStyle w:val="28"/>
              <w:jc w:val="left"/>
              <w:ind w:right="75"/>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657 500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1 979 250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1 999 000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2 130 000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-0,99</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jc w:val="both"/>
              <w:ind w:right="-60"/>
              <w:bidi w:val="0"/>
              <w:spacing w:before="45" w:after="45"/>
            </w:pPr>
            <w:r>
              <w:rPr>
                <w:sz w:val="14"/>
              </w:rPr>
              <w:t>Malting barley/Moutgars</w:t>
            </w:r>
          </w:p>
        </w:tc>
        <w:tc>
          <w:tcPr>
            <w:tcW w:w="1280" w:type="dxa"/>
            <w:shd w:val="clear" w:color="auto" w:fill="FFFFFF"/>
          </w:tcPr>
          <w:p>
            <w:pPr>
              <w:pStyle w:val="28"/>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74 760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223 870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220 620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68 245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192 000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+1,47</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jc w:val="both"/>
              <w:ind w:right="-60"/>
              <w:bidi w:val="0"/>
              <w:spacing w:before="45" w:after="45"/>
            </w:pPr>
            <w:r>
              <w:rPr>
                <w:sz w:val="14"/>
              </w:rPr>
              <w:t>Canola/Kanola</w:t>
            </w:r>
          </w:p>
        </w:tc>
        <w:tc>
          <w:tcPr>
            <w:tcW w:w="1280" w:type="dxa"/>
            <w:shd w:val="clear" w:color="auto" w:fill="FFFFFF"/>
          </w:tcPr>
          <w:p>
            <w:pPr>
              <w:pStyle w:val="28"/>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38 060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45 660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45 660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jc w:val="both"/>
              <w:ind w:right="-60"/>
              <w:bidi w:val="0"/>
              <w:spacing w:before="45" w:after="45"/>
            </w:pPr>
            <w:r>
              <w:rPr>
                <w:sz w:val="14"/>
              </w:rPr>
              <w:t>Total/Totaal</w:t>
            </w:r>
          </w:p>
        </w:tc>
        <w:tc>
          <w:tcPr>
            <w:tcW w:w="1280" w:type="dxa"/>
            <w:shd w:val="clear" w:color="auto" w:fill="FFFFFF"/>
          </w:tcPr>
          <w:p>
            <w:pPr>
              <w:pStyle w:val="28"/>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770 320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2 248 780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2 265 280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2 352 800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-0,73</w:t>
            </w:r>
          </w:p>
        </w:tc>
      </w:tr>
    </w:tbl>
    <w:p>
      <w:pPr>
        <w:bidi w:val="0"/>
      </w:pPr>
      <w:r>
        <w:rPr>
          <w:rFonts w:ascii="Tahoma" w:hAnsi="Tahoma" w:cs="Tahoma" w:eastAsia="Tahoma"/>
        </w:rPr>
        <w:t/>
      </w:r>
    </w:p>
    <w:p>
      <w:pPr>
        <w:pStyle w:val="28"/>
        <w:ind w:right="-60"/>
        <w:bidi w:val="0"/>
      </w:pPr>
      <w:r>
        <w:t/>
      </w:r>
    </w:p>
    <w:p>
      <w:pPr>
        <w:pStyle w:val="28"/>
        <w:jc w:val="left"/>
        <w:ind w:right="-60"/>
        <w:bidi w:val="0"/>
      </w:pPr>
      <w:r>
        <w:rPr>
          <w:b/>
          <w:sz w:val="14"/>
        </w:rPr>
        <w:t>WHEAT</w:t>
      </w:r>
      <w:r>
        <w:rPr>
          <w:sz w:val="14"/>
        </w:rPr>
        <w:t xml:space="preserve"> – AREA PLANTED AND FIFTH PRODUCTION FORECAST: 2009 PRODUCTION SEASON </w:t>
      </w:r>
    </w:p>
    <w:p>
      <w:pPr>
        <w:pStyle w:val="28"/>
        <w:jc w:val="left"/>
        <w:ind w:right="-60"/>
        <w:bidi w:val="0"/>
      </w:pPr>
      <w:r>
        <w:rPr>
          <w:b/>
          <w:sz w:val="14"/>
        </w:rPr>
        <w:t>KORING</w:t>
      </w:r>
      <w:r>
        <w:rPr>
          <w:sz w:val="14"/>
        </w:rPr>
        <w:t xml:space="preserve"> – OPPERVLAK- EN VYFDE PRODUKSIESKATTING: 2009-PRODUKSIESEISOEN </w:t>
      </w:r>
    </w:p>
    <w:p>
      <w:pPr>
        <w:pStyle w:val="28"/>
        <w:jc w:val="left"/>
        <w:ind w:right="-60"/>
        <w:bidi w:val="0"/>
      </w:pPr>
      <w:r>
        <w:t/>
      </w:r>
    </w:p>
    <w:p>
      <w:pPr>
        <w:bidi w:val="0"/>
      </w:pPr>
      <w:r>
        <w:rPr>
          <w:rFonts w:ascii="Tahoma" w:hAnsi="Tahoma" w:cs="Tahoma" w:eastAsia="Tahoma"/>
        </w:rPr>
        <w:t/>
      </w:r>
    </w:p>
    <w:tbl>
      <w:tblPr>
        <w:tblW w:w="8800" w:type="dxa"/>
        <w:tblLayout w:type="fixed"/>
        <w:tblCellMar>
          <w:top w:w="0" w:type="dxa"/>
          <w:left w:w="0" w:type="dxa"/>
          <w:bottom w:w="0" w:type="dxa"/>
          <w:right w:w="0" w:type="dxa"/>
        </w:tblCellMar>
      </w:tblPr>
      <w:tblGrid>
        <w:gridCol w:w="2355"/>
        <w:gridCol w:w="1290"/>
        <w:gridCol w:w="1290"/>
        <w:gridCol w:w="1200"/>
        <w:gridCol w:w="1365"/>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ind w:right="-60"/>
              <w:bidi w:val="0"/>
              <w:spacing w:before="60"/>
            </w:pPr>
            <w:r>
              <w:rPr>
                <w:b/>
                <w:sz w:val="14"/>
              </w:rPr>
              <w:t>Area planted/</w:t>
            </w:r>
          </w:p>
          <w:p>
            <w:pPr>
              <w:pStyle w:val="28"/>
              <w:ind w:right="-60"/>
              <w:bidi w:val="0"/>
              <w:spacing w:after="60"/>
            </w:pPr>
            <w:r>
              <w:rPr>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ind w:right="-60"/>
              <w:bidi w:val="0"/>
              <w:spacing w:before="60"/>
            </w:pPr>
            <w:r>
              <w:rPr>
                <w:b/>
                <w:sz w:val="14"/>
              </w:rPr>
              <w:t>5</w:t>
            </w:r>
            <w:r>
              <w:rPr>
                <w:b/>
                <w:vertAlign w:val="superscript"/>
                <w:sz w:val="14"/>
              </w:rPr>
              <w:t>th</w:t>
            </w:r>
            <w:r>
              <w:rPr>
                <w:b/>
                <w:sz w:val="14"/>
              </w:rPr>
              <w:t xml:space="preserve"> forecast/</w:t>
            </w:r>
          </w:p>
          <w:p>
            <w:pPr>
              <w:pStyle w:val="28"/>
              <w:ind w:right="-60"/>
              <w:bidi w:val="0"/>
            </w:pPr>
            <w:r>
              <w:rPr>
                <w:b/>
                <w:sz w:val="14"/>
              </w:rPr>
              <w:t>5</w:t>
            </w:r>
            <w:r>
              <w:rPr>
                <w:b/>
                <w:vertAlign w:val="superscript"/>
                <w:sz w:val="14"/>
              </w:rPr>
              <w:t>de</w:t>
            </w:r>
            <w:r>
              <w:rPr>
                <w:b/>
                <w:sz w:val="14"/>
              </w:rPr>
              <w:t xml:space="preserve"> skatting</w:t>
            </w:r>
          </w:p>
          <w:p>
            <w:pPr>
              <w:pStyle w:val="28"/>
              <w:ind w:right="-60"/>
              <w:bidi w:val="0"/>
              <w:spacing w:before="60"/>
            </w:pPr>
            <w:r>
              <w:rPr>
                <w:b/>
                <w:sz w:val="14"/>
              </w:rPr>
              <w:t>Tons</w:t>
            </w:r>
          </w:p>
        </w:tc>
        <w:tc>
          <w:tcPr>
            <w:tcW w:w="1200" w:type="dxa"/>
            <w:shd w:val="clear" w:color="auto" w:fill="FFFFFF"/>
          </w:tcPr>
          <w:p>
            <w:pPr>
              <w:pStyle w:val="28"/>
              <w:ind w:right="-60"/>
              <w:bidi w:val="0"/>
              <w:spacing w:before="60"/>
            </w:pPr>
            <w:r>
              <w:rPr>
                <w:u w:val="none"/>
              </w:rPr>
              <w:t/>
            </w:r>
          </w:p>
          <w:p>
            <w:pPr>
              <w:pStyle w:val="28"/>
              <w:ind w:right="-60"/>
              <w:bidi w:val="0"/>
              <w:spacing w:before="60"/>
            </w:pPr>
            <w:r>
              <w:rPr>
                <w:sz w:val="14"/>
              </w:rPr>
              <w:t>4</w:t>
            </w:r>
            <w:r>
              <w:rPr>
                <w:vertAlign w:val="superscript"/>
                <w:sz w:val="14"/>
              </w:rPr>
              <w:t>th</w:t>
            </w:r>
            <w:r>
              <w:rPr>
                <w:sz w:val="14"/>
              </w:rPr>
              <w:t xml:space="preserve"> forecast/</w:t>
            </w:r>
          </w:p>
          <w:p>
            <w:pPr>
              <w:pStyle w:val="28"/>
              <w:ind w:right="-60"/>
              <w:bidi w:val="0"/>
            </w:pPr>
            <w:r>
              <w:rPr>
                <w:sz w:val="14"/>
              </w:rPr>
              <w:t>4</w:t>
            </w:r>
            <w:r>
              <w:rPr>
                <w:vertAlign w:val="superscript"/>
                <w:sz w:val="14"/>
              </w:rPr>
              <w:t>de</w:t>
            </w:r>
            <w:r>
              <w:rPr>
                <w:sz w:val="14"/>
              </w:rPr>
              <w:t xml:space="preserve"> skatting</w:t>
            </w:r>
          </w:p>
          <w:p>
            <w:pPr>
              <w:pStyle w:val="28"/>
              <w:ind w:right="-60"/>
              <w:bidi w:val="0"/>
              <w:spacing w:before="60"/>
            </w:pPr>
            <w:r>
              <w:rPr>
                <w:sz w:val="14"/>
              </w:rPr>
              <w:t>Tons</w:t>
            </w:r>
          </w:p>
        </w:tc>
        <w:tc>
          <w:tcPr>
            <w:tcW w:w="1370" w:type="dxa"/>
            <w:shd w:val="clear" w:color="auto" w:fill="FFFFFF"/>
          </w:tcPr>
          <w:p>
            <w:pPr>
              <w:pStyle w:val="28"/>
              <w:ind w:right="-60"/>
              <w:bidi w:val="0"/>
              <w:spacing w:before="60"/>
            </w:pPr>
            <w:r>
              <w:rPr>
                <w:u w:val="none"/>
              </w:rPr>
              <w:t/>
            </w:r>
          </w:p>
          <w:p>
            <w:pPr>
              <w:pStyle w:val="28"/>
              <w:ind w:right="-60"/>
              <w:bidi w:val="0"/>
              <w:spacing w:before="60"/>
            </w:pPr>
            <w:r>
              <w:rPr>
                <w:sz w:val="14"/>
              </w:rPr>
              <w:t>Area planted/</w:t>
            </w:r>
          </w:p>
          <w:p>
            <w:pPr>
              <w:pStyle w:val="28"/>
              <w:ind w:right="-60"/>
              <w:bidi w:val="0"/>
              <w:spacing w:after="60"/>
            </w:pPr>
            <w:r>
              <w:rPr>
                <w:sz w:val="14"/>
              </w:rPr>
              <w:t>Opp beplant</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ind w:right="-60"/>
              <w:bidi w:val="0"/>
              <w:spacing w:before="60"/>
            </w:pPr>
            <w:r>
              <w:rPr>
                <w:u w:val="none"/>
              </w:rPr>
              <w:t/>
            </w:r>
          </w:p>
          <w:p>
            <w:pPr>
              <w:bidi w:val="0"/>
            </w:pPr>
            <w:r>
              <w:rPr>
                <w:rFonts w:ascii="Tahoma" w:hAnsi="Tahoma" w:cs="Tahoma" w:eastAsia="Tahoma"/>
                <w:sz w:val="14"/>
              </w:rPr>
              <w:t>Final crop/</w:t>
            </w:r>
          </w:p>
          <w:p>
            <w:pPr>
              <w:pStyle w:val="28"/>
              <w:ind w:right="-60"/>
              <w:bidi w:val="0"/>
              <w:spacing w:after="60"/>
            </w:pPr>
            <w:r>
              <w:rPr>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8"/>
              <w:ind w:right="-60"/>
              <w:bidi w:val="0"/>
              <w:spacing w:before="15"/>
            </w:pPr>
            <w:r>
              <w:rPr>
                <w:b/>
                <w:sz w:val="14"/>
              </w:rPr>
              <w:t>2009</w:t>
            </w:r>
          </w:p>
        </w:tc>
        <w:tc>
          <w:tcPr>
            <w:tcW w:w="1290" w:type="dxa"/>
            <w:shd w:val="clear" w:color="auto" w:fill="FFFFFF"/>
          </w:tcPr>
          <w:p>
            <w:pPr>
              <w:pStyle w:val="28"/>
              <w:ind w:right="-60"/>
              <w:bidi w:val="0"/>
              <w:spacing w:before="15"/>
            </w:pPr>
            <w:r>
              <w:rPr>
                <w:u w:val="none"/>
              </w:rPr>
              <w:t/>
            </w:r>
          </w:p>
          <w:p>
            <w:pPr>
              <w:pStyle w:val="28"/>
              <w:ind w:right="-60"/>
              <w:bidi w:val="0"/>
              <w:spacing w:before="15" w:after="15"/>
            </w:pPr>
            <w:r>
              <w:rPr>
                <w:b/>
                <w:sz w:val="14"/>
              </w:rPr>
              <w:t>2009</w:t>
            </w:r>
          </w:p>
        </w:tc>
        <w:tc>
          <w:tcPr>
            <w:tcW w:w="1200" w:type="dxa"/>
            <w:shd w:val="clear" w:color="auto" w:fill="FFFFFF"/>
          </w:tcPr>
          <w:p>
            <w:pPr>
              <w:pStyle w:val="28"/>
              <w:ind w:right="-60"/>
              <w:bidi w:val="0"/>
              <w:spacing w:before="15" w:after="15"/>
            </w:pPr>
            <w:r>
              <w:rPr>
                <w:u w:val="none"/>
              </w:rPr>
              <w:t/>
            </w:r>
          </w:p>
          <w:p>
            <w:pPr>
              <w:pStyle w:val="28"/>
              <w:ind w:right="-60"/>
              <w:bidi w:val="0"/>
              <w:spacing w:before="15" w:after="15"/>
            </w:pPr>
            <w:r>
              <w:rPr>
                <w:sz w:val="14"/>
              </w:rPr>
              <w:t>2009</w:t>
            </w:r>
          </w:p>
        </w:tc>
        <w:tc>
          <w:tcPr>
            <w:tcW w:w="1370" w:type="dxa"/>
            <w:shd w:val="clear" w:color="auto" w:fill="FFFFFF"/>
          </w:tcPr>
          <w:p>
            <w:pPr>
              <w:pStyle w:val="28"/>
              <w:ind w:right="-60"/>
              <w:bidi w:val="0"/>
              <w:spacing w:before="15" w:after="15"/>
            </w:pPr>
            <w:r>
              <w:rPr>
                <w:u w:val="none"/>
              </w:rPr>
              <w:t/>
            </w:r>
          </w:p>
          <w:p>
            <w:pPr>
              <w:pStyle w:val="28"/>
              <w:ind w:right="-60"/>
              <w:bidi w:val="0"/>
              <w:spacing w:before="15"/>
            </w:pPr>
            <w:r>
              <w:rPr>
                <w:sz w:val="14"/>
              </w:rPr>
              <w:t>2008</w:t>
            </w:r>
          </w:p>
        </w:tc>
        <w:tc>
          <w:tcPr>
            <w:tcW w:w="1290" w:type="dxa"/>
            <w:shd w:val="clear" w:color="auto" w:fill="FFFFFF"/>
          </w:tcPr>
          <w:p>
            <w:pPr>
              <w:pStyle w:val="28"/>
              <w:ind w:right="-60"/>
              <w:bidi w:val="0"/>
              <w:spacing w:before="15"/>
            </w:pPr>
            <w:r>
              <w:rPr>
                <w:u w:val="none"/>
              </w:rPr>
              <w:t/>
            </w:r>
          </w:p>
          <w:p>
            <w:pPr>
              <w:pStyle w:val="28"/>
              <w:ind w:right="-60"/>
              <w:bidi w:val="0"/>
              <w:spacing w:before="15"/>
            </w:pPr>
            <w:r>
              <w:rPr>
                <w:sz w:val="14"/>
              </w:rPr>
              <w:t>2008</w:t>
            </w:r>
          </w:p>
        </w:tc>
      </w:tr>
      <w:tr>
        <w:tc>
          <w:tcPr>
            <w:tcW w:w="2360" w:type="dxa"/>
            <w:shd w:val="clear" w:color="auto" w:fill="FFFFFF"/>
          </w:tcPr>
          <w:p>
            <w:pPr>
              <w:pStyle w:val="28"/>
              <w:ind w:right="-60"/>
              <w:bidi w:val="0"/>
              <w:spacing w:before="15"/>
            </w:pPr>
            <w:r>
              <w:rPr>
                <w:u w:val="none"/>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315 000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724 500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756 000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44 000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281 600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281 600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332 000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235 000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622 750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611 000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20 000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35 000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38 200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42 000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42 000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45 000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18 000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99 000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99 000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12 800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12 800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12 800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141 600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141 600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150 000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657 500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1 979 250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1 999 000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748 000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2 130 000</w:t>
            </w:r>
          </w:p>
        </w:tc>
      </w:tr>
    </w:tbl>
    <w:p>
      <w:pPr>
        <w:bidi w:val="0"/>
      </w:pPr>
      <w:r>
        <w:rPr>
          <w:rFonts w:ascii="Tahoma" w:hAnsi="Tahoma" w:cs="Tahoma" w:eastAsia="Tahoma"/>
        </w:rPr>
        <w:t/>
      </w:r>
    </w:p>
    <w:p>
      <w:pPr>
        <w:jc w:val="both"/>
        <w:ind w:right="615"/>
        <w:bidi w:val="0"/>
        <w:spacing w:before="75"/>
      </w:pPr>
      <w:r>
        <w:t/>
      </w:r>
    </w:p>
    <w:p>
      <w:pPr>
        <w:bidi w:val="0"/>
      </w:pPr>
      <w:r>
        <w:rPr>
          <w:rFonts w:ascii="Tahoma" w:hAnsi="Tahoma" w:cs="Tahoma" w:eastAsia="Tahoma"/>
        </w:rPr>
        <w:t/>
      </w:r>
    </w:p>
    <w:p>
      <w:r>
        <w:br w:type="page"/>
      </w:r>
    </w:p>
    <w:p>
      <w:pPr>
        <w:bidi w:val="0"/>
      </w:pPr>
      <w:r>
        <w:rPr>
          <w:rFonts w:ascii="Tahoma" w:hAnsi="Tahoma" w:cs="Tahoma" w:eastAsia="Tahoma"/>
          <w:sz w:val="20"/>
        </w:rPr>
        <w:t/>
      </w:r>
    </w:p>
    <w:p>
      <w:pPr>
        <w:pStyle w:val="28"/>
        <w:bidi w:val="0"/>
      </w:pPr>
      <w:r>
        <w:rPr>
          <w:b/>
          <w:sz w:val="20"/>
        </w:rPr>
        <w:t>AREA PLANTED AND FIFTH PRODUCTION FORECAST OF WINTER CEREALS (2009 PRODUCTION SEASON) /</w:t>
      </w:r>
      <w:r>
        <w:br/>
      </w:r>
      <w:r>
        <w:rPr>
          <w:b/>
          <w:sz w:val="20"/>
        </w:rPr>
        <w:t>OPPERVLAK - EN VYFDE PRODUKSIESKATTING VIR WINTERGEWASSE (2009 PRODUKSIE-SEISOEN)</w:t>
      </w:r>
    </w:p>
    <w:p>
      <w:pPr>
        <w:pStyle w:val="28"/>
        <w:bidi w:val="0"/>
      </w:pPr>
      <w:r>
        <w:rPr>
          <w:b/>
          <w:sz w:val="20"/>
        </w:rPr>
        <w:t>17 DECEMBER/ DESEMBER 2009</w:t>
      </w:r>
    </w:p>
    <w:p>
      <w:pPr>
        <w:bidi w:val="0"/>
      </w:pPr>
      <w:r>
        <w:t/>
      </w:r>
    </w:p>
    <w:p>
      <w:pPr>
        <w:bidi w:val="0"/>
      </w:pPr>
      <w:r>
        <w:rPr>
          <w:rFonts w:ascii="Tahoma" w:hAnsi="Tahoma" w:cs="Tahoma" w:eastAsia="Tahoma"/>
        </w:rPr>
        <w:t/>
      </w:r>
    </w:p>
    <w:tbl>
      <w:tblPr>
        <w:tblW w:w="16110" w:type="dxa"/>
        <w:tblLayout w:type="fixed"/>
        <w:tblBorders>
          <w:top w:val="single" w:sz="6" w:color="auto"/>
        </w:tblBorders>
        <w:tblCellMar>
          <w:top w:w="0" w:type="dxa"/>
          <w:left w:w="0" w:type="dxa"/>
          <w:bottom w:w="0" w:type="dxa"/>
          <w:right w:w="0" w:type="dxa"/>
        </w:tblCellMar>
        <w:tblInd w:w="-180" w:type="dxa"/>
      </w:tblPr>
      <w:tblGrid>
        <w:gridCol w:w="7575"/>
        <w:gridCol w:w="570"/>
        <w:gridCol w:w="7920"/>
      </w:tblGrid>
      <w:tr>
        <w:tc>
          <w:tcPr>
            <w:tcW w:w="7580" w:type="dxa"/>
            <w:shd w:val="clear" w:color="auto" w:fill="FFFFFF"/>
          </w:tcPr>
          <w:p>
            <w:pPr>
              <w:jc w:val="both"/>
              <w:ind w:left="255" w:right="255"/>
              <w:bidi w:val="0"/>
              <w:spacing w:after="135"/>
            </w:pPr>
            <w:r>
              <w:rPr>
                <w:rFonts w:ascii="Tahoma" w:hAnsi="Tahoma" w:cs="Tahoma" w:eastAsia="Tahoma"/>
                <w:b/>
                <w:u w:val="single"/>
                <w:sz w:val="18"/>
              </w:rPr>
              <w:t>Winter cereal crops - 2009 production season</w:t>
            </w:r>
          </w:p>
          <w:p>
            <w:pPr>
              <w:jc w:val="both"/>
              <w:ind w:left="255" w:right="255"/>
              <w:bidi w:val="0"/>
              <w:spacing w:after="135"/>
            </w:pPr>
            <w:r>
              <w:rPr>
                <w:rFonts w:ascii="Tahoma" w:hAnsi="Tahoma" w:cs="Tahoma" w:eastAsia="Tahoma"/>
                <w:b/>
                <w:u w:val="single"/>
                <w:sz w:val="18"/>
              </w:rPr>
              <w:t>Wheat:</w:t>
            </w:r>
            <w:r>
              <w:rPr>
                <w:rFonts w:ascii="Tahoma" w:hAnsi="Tahoma" w:cs="Tahoma" w:eastAsia="Tahoma"/>
                <w:sz w:val="18"/>
              </w:rPr>
              <w:t xml:space="preserve">  The production forecast for wheat was reduced to 1,979 million tons, which is 0,99% or 19  750 tons lower than the previous forecast of 1,999 million tons.  The downward adjustment can mainly be ascribed to the wet conditions that prevailed during harvesting time in the Western Cape, more specifically in the Swartland area, that impacted negatively on the crop expectations.  The yield is 3,01 t/ha.  </w:t>
            </w:r>
          </w:p>
          <w:p>
            <w:pPr>
              <w:jc w:val="both"/>
              <w:ind w:left="255" w:right="255"/>
              <w:bidi w:val="0"/>
              <w:spacing w:after="135"/>
            </w:pPr>
            <w:r>
              <w:rPr>
                <w:rFonts w:ascii="Tahoma" w:hAnsi="Tahoma" w:cs="Tahoma" w:eastAsia="Tahoma"/>
                <w:sz w:val="18"/>
              </w:rPr>
              <w:t>The expected production was adjusted downward in the Western Cape province by 31  500 tons or 4,17%, whilst the expected production in the Free State province was adjusted upward by 11  750 tons or 1,92%. Please note that the expected production in the Free State province was adjusted upward, based on the results of the objective yield survey undertaken by the National Crop Statistics Consortium.</w:t>
            </w:r>
          </w:p>
          <w:p>
            <w:pPr>
              <w:jc w:val="both"/>
              <w:ind w:left="255" w:right="255"/>
              <w:bidi w:val="0"/>
              <w:spacing w:after="135"/>
            </w:pPr>
            <w:r>
              <w:rPr>
                <w:rFonts w:ascii="Tahoma" w:hAnsi="Tahoma" w:cs="Tahoma" w:eastAsia="Tahoma"/>
                <w:sz w:val="18"/>
              </w:rPr>
              <w:t>The area planted to wheat remained unchanged at 657  500 ha.  An estimated 315  000 ha or 48% is planted in the Western Cape, 235  000 ha or 36% in the Free State and 44  000 ha or 7% in the Northern Cape.</w:t>
            </w:r>
          </w:p>
          <w:p>
            <w:pPr>
              <w:jc w:val="both"/>
              <w:ind w:left="255" w:right="255"/>
              <w:bidi w:val="0"/>
              <w:spacing w:after="135"/>
            </w:pPr>
            <w:r>
              <w:rPr>
                <w:rFonts w:ascii="Tahoma" w:hAnsi="Tahoma" w:cs="Tahoma" w:eastAsia="Tahoma"/>
                <w:b/>
                <w:u w:val="single"/>
                <w:sz w:val="18"/>
              </w:rPr>
              <w:t>Other crops:</w:t>
            </w:r>
            <w:r>
              <w:rPr>
                <w:rFonts w:ascii="Tahoma" w:hAnsi="Tahoma" w:cs="Tahoma" w:eastAsia="Tahoma"/>
                <w:sz w:val="18"/>
              </w:rPr>
              <w:t xml:space="preserve"> The production forecast for malting barley increased to 223  870 tons, which is 3  250 tons or 1,47% higher than the previous forecast of 220  620 tons. The area planted to barley also remained unchanged at 74  760 ha, while the expected yield is 2,99 t/ha.</w:t>
            </w:r>
          </w:p>
          <w:p>
            <w:pPr>
              <w:jc w:val="both"/>
              <w:ind w:left="255" w:right="255"/>
              <w:bidi w:val="0"/>
              <w:spacing w:after="135"/>
            </w:pPr>
            <w:r>
              <w:rPr>
                <w:rFonts w:ascii="Tahoma" w:hAnsi="Tahoma" w:cs="Tahoma" w:eastAsia="Tahoma"/>
                <w:sz w:val="18"/>
              </w:rPr>
              <w:t>The expected canola crop remained unchanged at 45  660 tons.  The area estimate for canola also remained unchanged at 38  060 ha, with an expected yield of 1,20 t/ha.</w:t>
            </w:r>
          </w:p>
          <w:p>
            <w:pPr>
              <w:jc w:val="both"/>
              <w:ind w:left="255" w:right="255"/>
              <w:bidi w:val="0"/>
              <w:spacing w:after="135"/>
              <w:tabs>
                <w:tab w:val="left" w:pos="6645"/>
              </w:tabs>
            </w:pPr>
            <w:r>
              <w:rPr>
                <w:rFonts w:ascii="Tahoma" w:hAnsi="Tahoma" w:cs="Tahoma" w:eastAsia="Tahoma"/>
                <w:sz w:val="18"/>
              </w:rPr>
              <w:t>Please note that the sixth production forecast for winter cereals for the 2009 production season, as well as the preliminary area estimate for summer crops for the 2009/10 production season will be released on 21  January 2010.</w:t>
            </w:r>
          </w:p>
        </w:tc>
        <w:tc>
          <w:tcPr>
            <w:tcW w:w="570" w:type="dxa"/>
            <w:shd w:val="clear" w:color="auto" w:fill="FFFFFF"/>
          </w:tcPr>
          <w:p>
            <w:pPr>
              <w:jc w:val="both"/>
              <w:ind w:left="255" w:right="255"/>
              <w:bidi w:val="0"/>
              <w:spacing w:after="135"/>
              <w:tabs>
                <w:tab w:val="left" w:pos="6645"/>
              </w:tabs>
            </w:pPr>
            <w:r>
              <w:rPr>
                <w:rFonts w:ascii="Tahoma" w:hAnsi="Tahoma" w:cs="Tahoma" w:eastAsia="Tahoma"/>
              </w:rPr>
              <w:t/>
            </w:r>
          </w:p>
          <w:p>
            <w:pPr>
              <w:jc w:val="both"/>
              <w:ind w:left="255" w:right="255"/>
              <w:bidi w:val="0"/>
              <w:spacing w:after="135"/>
            </w:pPr>
            <w:r>
              <w:rPr>
                <w:rFonts w:ascii="Tahoma" w:hAnsi="Tahoma" w:cs="Tahoma" w:eastAsia="Tahoma"/>
              </w:rPr>
              <w:t/>
            </w:r>
          </w:p>
        </w:tc>
        <w:tc>
          <w:tcPr>
            <w:tcW w:w="7920" w:type="dxa"/>
            <w:shd w:val="clear" w:color="auto" w:fill="FFFFFF"/>
          </w:tcPr>
          <w:p>
            <w:pPr>
              <w:jc w:val="both"/>
              <w:ind w:left="255" w:right="255"/>
              <w:bidi w:val="0"/>
              <w:spacing w:after="135"/>
            </w:pPr>
            <w:r>
              <w:rPr>
                <w:rFonts w:ascii="Tahoma" w:hAnsi="Tahoma" w:cs="Tahoma" w:eastAsia="Tahoma"/>
                <w:b/>
                <w:u w:val="single"/>
                <w:sz w:val="18"/>
              </w:rPr>
              <w:t>Wintergewasse - 2009 produksie-seisoen</w:t>
            </w:r>
          </w:p>
          <w:p>
            <w:pPr>
              <w:jc w:val="both"/>
              <w:ind w:left="255" w:right="255"/>
              <w:bidi w:val="0"/>
              <w:spacing w:after="135"/>
            </w:pPr>
            <w:r>
              <w:rPr>
                <w:rFonts w:ascii="Tahoma" w:hAnsi="Tahoma" w:cs="Tahoma" w:eastAsia="Tahoma"/>
                <w:b/>
                <w:u w:val="single"/>
                <w:sz w:val="18"/>
              </w:rPr>
              <w:t>Koring:</w:t>
            </w:r>
            <w:r>
              <w:rPr>
                <w:rFonts w:ascii="Tahoma" w:hAnsi="Tahoma" w:cs="Tahoma" w:eastAsia="Tahoma"/>
                <w:sz w:val="18"/>
              </w:rPr>
              <w:t xml:space="preserve">  Die produksieskatting vir koring is afwaarts aangepas na 1,979 miljoen ton, wat 19  750 ton of 0,99% laer is as die 1,999 miljoen ton van die vorige skatting.  Die afwaartse aanpassing kan hoofsaaklik toegeskryf word aan nat toestande wat gedurende strooptyd in die Wes-Kaap, meer spesifiek in die Swartland-area, voorgekom het, wat oesvooruitsigte negatief beïnvloed het.  Die opbrengs is 3,01 t/ha.</w:t>
            </w:r>
          </w:p>
          <w:p>
            <w:pPr>
              <w:jc w:val="both"/>
              <w:ind w:left="255" w:right="255"/>
              <w:bidi w:val="0"/>
              <w:spacing w:before="105" w:after="120"/>
            </w:pPr>
            <w:r>
              <w:rPr>
                <w:rFonts w:ascii="Tahoma" w:hAnsi="Tahoma" w:cs="Tahoma" w:eastAsia="Tahoma"/>
                <w:sz w:val="18"/>
              </w:rPr>
              <w:t>Die verwagte produksie is afwaarts aangepas vir die Wes-Kaap provinsie met 31  500 ton of 4,17%, terwyl die verwagte produksie in die Vrystaat provinsie met 11  750 ton of 1,92% opwaarts aangepas is.  Neem asseblief kennis dat die verwagte produksie in die Vrystaat opwaarts aangepas is na aanleiding van die objektiewe opbrengs resultate wat verkry is vanaf die LNR-geleide Konsortium se opname.</w:t>
            </w:r>
          </w:p>
          <w:p>
            <w:pPr>
              <w:jc w:val="both"/>
              <w:ind w:left="255" w:right="255"/>
              <w:bidi w:val="0"/>
              <w:spacing w:after="135"/>
            </w:pPr>
            <w:r>
              <w:rPr>
                <w:rFonts w:ascii="Tahoma" w:hAnsi="Tahoma" w:cs="Tahoma" w:eastAsia="Tahoma"/>
                <w:sz w:val="18"/>
              </w:rPr>
              <w:t>Die oppervlakte beplant met koring is onveranderd gelaat op 657  500 ha.  Die beraamde oppervlakte beplant in die Wes-Kaap is 315  000 ha of 48%, die Vrystaat is 235  000 ha of 36% en 44  000 ha of 7% is in die Noord-Kaap.</w:t>
            </w:r>
          </w:p>
          <w:p>
            <w:pPr>
              <w:jc w:val="both"/>
              <w:ind w:left="255" w:right="255"/>
              <w:bidi w:val="0"/>
              <w:spacing w:after="135"/>
            </w:pPr>
            <w:r>
              <w:rPr>
                <w:rFonts w:ascii="Tahoma" w:hAnsi="Tahoma" w:cs="Tahoma" w:eastAsia="Tahoma"/>
                <w:b/>
                <w:u w:val="single"/>
                <w:sz w:val="18"/>
              </w:rPr>
              <w:t>Ander gewasse</w:t>
            </w:r>
            <w:r>
              <w:rPr>
                <w:rFonts w:ascii="Tahoma" w:hAnsi="Tahoma" w:cs="Tahoma" w:eastAsia="Tahoma"/>
                <w:sz w:val="18"/>
              </w:rPr>
              <w:t>: Die produksieskatting vir moutgars is opwaarts aangepas na 223  870 ton, wat 3  250 ton of 1,47% hoër is 220  620 ton van die vorige skatting.  Die oppervlakteskatting is onveranderd gelaat op 74  760 ha, terwyl die verwagte opbrengs 2,99 t/ha beloop.</w:t>
            </w:r>
          </w:p>
          <w:p>
            <w:pPr>
              <w:jc w:val="both"/>
              <w:ind w:left="255" w:right="255"/>
              <w:bidi w:val="0"/>
              <w:spacing w:after="135"/>
            </w:pPr>
            <w:r>
              <w:rPr>
                <w:rFonts w:ascii="Tahoma" w:hAnsi="Tahoma" w:cs="Tahoma" w:eastAsia="Tahoma"/>
                <w:sz w:val="18"/>
              </w:rPr>
              <w:t>Die verwagte kanola-oes is onveranderd gelaat op 45  660 ton.  Die oppervlakteskatting vir kanola is ook onveranderd gelaat op 38  060 ha, met ŉ verwagte opbrengs van 1,20 t/ha.</w:t>
            </w:r>
          </w:p>
          <w:p>
            <w:pPr>
              <w:jc w:val="both"/>
              <w:ind w:left="255" w:right="255"/>
              <w:bidi w:val="0"/>
              <w:spacing w:after="135"/>
            </w:pPr>
            <w:r>
              <w:rPr>
                <w:rFonts w:ascii="Tahoma" w:hAnsi="Tahoma" w:cs="Tahoma" w:eastAsia="Tahoma"/>
                <w:sz w:val="18"/>
              </w:rPr>
              <w:t>Neem asseblief kennis dat die sesde produksieskatting vir wintergewasse vir die 2009 produksieseisoen, sowel as die voorlopige oppervlakte beplant vir somergewasse vir die 2009/10 produksieseisoen op 21 Januarie 2010 vrygestel sal word.</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6110" w:type="dxa"/>
        <w:tblLayout w:type="fixed"/>
        <w:tblBorders>
          <w:top w:val="single" w:sz="6" w:color="auto"/>
        </w:tblBorders>
        <w:tblCellMar>
          <w:top w:w="0" w:type="dxa"/>
          <w:left w:w="0" w:type="dxa"/>
          <w:bottom w:w="0" w:type="dxa"/>
          <w:right w:w="0" w:type="dxa"/>
        </w:tblCellMar>
        <w:tblInd w:w="-180" w:type="dxa"/>
      </w:tblPr>
      <w:tblGrid>
        <w:gridCol w:w="7575"/>
        <w:gridCol w:w="570"/>
        <w:gridCol w:w="7920"/>
      </w:tblGrid>
      <w:tr>
        <w:tc>
          <w:tcPr>
            <w:tcW w:w="758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3">
              <w:r>
                <w:rPr>
                  <w:rFonts w:ascii="Tahoma" w:hAnsi="Tahoma" w:cs="Tahoma" w:eastAsia="Tahoma"/>
                  <w:b/>
                  <w:sz w:val="16"/>
                </w:rPr>
                <w:t>www.daff.gov.za/crop estimates</w:t>
              </w:r>
            </w:hyperlink>
            <w:r>
              <w:rPr>
                <w:rFonts w:ascii="Tahoma" w:hAnsi="Tahoma" w:cs="Tahoma" w:eastAsia="Tahoma"/>
                <w:b/>
                <w:sz w:val="16"/>
              </w:rPr>
              <w:t xml:space="preserve">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5">
              <w:r>
                <w:rPr>
                  <w:rFonts w:ascii="Tahoma" w:hAnsi="Tahoma" w:cs="Tahoma" w:eastAsia="Tahoma"/>
                  <w:b/>
                  <w:sz w:val="16"/>
                </w:rPr>
                <w:t>www.daff.gov.za/crop estimates</w:t>
              </w:r>
            </w:hyperlink>
            <w:r>
              <w:rPr>
                <w:rFonts w:ascii="Tahoma" w:hAnsi="Tahoma" w:cs="Tahoma" w:eastAsia="Tahoma"/>
                <w:b/>
                <w:sz w:val="16"/>
              </w:rPr>
              <w:t xml:space="preserve">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pStyle w:val="28"/>
        <w:jc w:val="left"/>
        <w:ind w:right="-60"/>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40"/>
    <w:next w:val="27"/>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Body Text Indent"/>
    <w:basedOn w:val="27"/>
    <w:pPr>
      <w:ind w:left="285"/>
      <w:spacing w:after="120"/>
    </w:pPr>
  </w:style>
  <w:style w:type="paragraph" w:styleId="3">
    <w:name w:val="Lower Case List"/>
    <w:basedOn w:val="20"/>
  </w:style>
  <w:style w:type="paragraph" w:styleId="4">
    <w:name w:val="Block Text"/>
    <w:basedOn w:val="27"/>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5">
    <w:name w:val="Body Text"/>
    <w:basedOn w:val="27"/>
    <w:pPr>
      <w:spacing w:after="120"/>
    </w:pPr>
  </w:style>
  <w:style w:type="paragraph" w:styleId="6">
    <w:name w:val="Triangle List"/>
    <w:pPr>
      <w:ind w:left="720" w:hanging="435"/>
    </w:pPr>
    <w:rPr>
      <w:rFonts w:ascii="Tahoma" w:hAnsi="Tahoma" w:cs="Tahoma" w:eastAsia="Tahoma"/>
      <w:sz w:val="24"/>
    </w:rPr>
  </w:style>
  <w:style w:type="paragraph" w:styleId="7">
    <w:name w:val="Document Map"/>
    <w:basedOn w:val="27"/>
    <w:rPr>
      <w:rFonts w:ascii="Tahoma" w:hAnsi="Tahoma" w:cs="Tahoma" w:eastAsia="Tahoma"/>
      <w:sz w:val="20"/>
    </w:rPr>
  </w:style>
  <w:style w:type="paragraph" w:styleId="8">
    <w:name w:val="Heading 2"/>
    <w:basedOn w:val="27"/>
    <w:next w:val="27"/>
    <w:pPr>
      <w:keepNext/>
      <w:spacing w:before="240" w:after="60"/>
    </w:pPr>
    <w:rPr>
      <w:rFonts w:ascii="Arial" w:hAnsi="Arial" w:cs="Arial" w:eastAsia="Arial"/>
      <w:b/>
      <w:i/>
      <w:sz w:val="28"/>
    </w:rPr>
  </w:style>
  <w:style w:type="paragraph" w:styleId="9">
    <w:name w:val="Heading 3"/>
    <w:basedOn w:val="27"/>
    <w:next w:val="27"/>
    <w:pPr>
      <w:keepNext/>
      <w:spacing w:before="240" w:after="60"/>
    </w:pPr>
    <w:rPr>
      <w:rFonts w:ascii="Arial" w:hAnsi="Arial" w:cs="Arial" w:eastAsia="Arial"/>
      <w:b/>
      <w:sz w:val="26"/>
    </w:rPr>
  </w:style>
  <w:style w:type="paragraph" w:styleId="10">
    <w:name w:val="Heading 4"/>
    <w:basedOn w:val="27"/>
    <w:next w:val="27"/>
    <w:pPr>
      <w:keepNext/>
      <w:spacing w:before="240" w:after="60"/>
    </w:pPr>
    <w:rPr>
      <w:b/>
      <w:sz w:val="28"/>
    </w:rPr>
  </w:style>
  <w:style w:type="paragraph" w:styleId="11">
    <w:name w:val="Hand List"/>
    <w:pPr>
      <w:ind w:left="720" w:hanging="435"/>
    </w:pPr>
    <w:rPr>
      <w:rFonts w:ascii="Tahoma" w:hAnsi="Tahoma" w:cs="Tahoma" w:eastAsia="Tahoma"/>
      <w:sz w:val="24"/>
    </w:rPr>
  </w:style>
  <w:style w:type="paragraph" w:styleId="12">
    <w:name w:val="Heading 6"/>
    <w:basedOn w:val="27"/>
    <w:next w:val="27"/>
    <w:pPr>
      <w:spacing w:before="240" w:after="60"/>
    </w:pPr>
    <w:rPr>
      <w:b/>
      <w:sz w:val="22"/>
    </w:rPr>
  </w:style>
  <w:style w:type="paragraph" w:styleId="13">
    <w:name w:val="Heading 7"/>
    <w:basedOn w:val="27"/>
    <w:next w:val="27"/>
    <w:pPr>
      <w:keepNext/>
      <w:spacing w:before="120" w:after="120"/>
    </w:pPr>
    <w:rPr>
      <w:rFonts w:ascii="Tahoma" w:hAnsi="Tahoma" w:cs="Tahoma" w:eastAsia="Tahoma"/>
      <w:b/>
      <w:sz w:val="48"/>
    </w:rPr>
  </w:style>
  <w:style w:type="paragraph" w:styleId="14">
    <w:name w:val="Square List"/>
    <w:pPr>
      <w:ind w:left="720" w:hanging="435"/>
    </w:pPr>
    <w:rPr>
      <w:rFonts w:ascii="Tahoma" w:hAnsi="Tahoma" w:cs="Tahoma" w:eastAsia="Tahoma"/>
      <w:sz w:val="24"/>
    </w:rPr>
  </w:style>
  <w:style w:type="paragraph" w:styleId="15">
    <w:name w:val="Body Text 2"/>
    <w:basedOn w:val="27"/>
    <w:pPr>
      <w:spacing w:after="120" w:lineRule="auto" w:line="480"/>
    </w:pPr>
  </w:style>
  <w:style w:type="paragraph" w:styleId="16">
    <w:name w:val="Table Normal"/>
    <w:rPr>
      <w:rFonts w:ascii="Tahoma" w:hAnsi="Tahoma" w:cs="Tahoma" w:eastAsia="Tahoma"/>
      <w:b/>
      <w:sz w:val="48"/>
    </w:rPr>
  </w:style>
  <w:style w:type="paragraph" w:styleId="17">
    <w:name w:val="Upper Case List"/>
    <w:basedOn w:val="20"/>
  </w:style>
  <w:style w:type="character" w:default="1" w:styleId="def">
    <w:name w:val="Default Paragraph Font"/>
    <w:uiPriority w:val="1"/>
    <w:semiHidden/>
    <w:unhideWhenUsed/>
  </w:style>
  <w:style w:type="paragraph" w:styleId="18">
    <w:name w:val="Footnote Text"/>
    <w:basedOn w:val="27"/>
    <w:link w:val="c18"/>
    <w:rPr>
      <w:rFonts w:ascii="Tahoma" w:hAnsi="Tahoma" w:cs="Tahoma" w:eastAsia="Tahoma"/>
      <w:sz w:val="20"/>
    </w:rPr>
  </w:style>
  <w:style w:type="character" w:styleId="c18">
    <w:name w:val="Footnote Text Text"/>
    <w:basedOn w:val="def"/>
    <w:link w:val="18"/>
    <w:rPr>
      <w:rFonts w:ascii="Tahoma" w:hAnsi="Tahoma" w:cs="Tahoma" w:eastAsia="Tahoma"/>
      <w:sz w:val="20"/>
    </w:rPr>
  </w:style>
  <w:style w:type="paragraph" w:styleId="19">
    <w:name w:val="Bullet List"/>
    <w:pPr>
      <w:ind w:left="720" w:hanging="435"/>
    </w:pPr>
    <w:rPr>
      <w:rFonts w:ascii="Tahoma" w:hAnsi="Tahoma" w:cs="Tahoma" w:eastAsia="Tahoma"/>
      <w:sz w:val="24"/>
    </w:rPr>
  </w:style>
  <w:style w:type="paragraph" w:styleId="20">
    <w:name w:val="Numbered List"/>
    <w:pPr>
      <w:ind w:left="720" w:hanging="435"/>
    </w:pPr>
    <w:rPr>
      <w:rFonts w:ascii="Tahoma" w:hAnsi="Tahoma" w:cs="Tahoma" w:eastAsia="Tahoma"/>
      <w:sz w:val="24"/>
    </w:rPr>
  </w:style>
  <w:style w:type="paragraph" w:styleId="21">
    <w:name w:val="Diamond List"/>
    <w:pPr>
      <w:ind w:left="720" w:hanging="435"/>
    </w:pPr>
    <w:rPr>
      <w:rFonts w:ascii="Tahoma" w:hAnsi="Tahoma" w:cs="Tahoma" w:eastAsia="Tahoma"/>
      <w:sz w:val="24"/>
    </w:rPr>
  </w:style>
  <w:style w:type="paragraph" w:styleId="22">
    <w:name w:val="Heart List"/>
    <w:pPr>
      <w:ind w:left="720" w:hanging="435"/>
    </w:pPr>
    <w:rPr>
      <w:rFonts w:ascii="Tahoma" w:hAnsi="Tahoma" w:cs="Tahoma" w:eastAsia="Tahoma"/>
      <w:sz w:val="24"/>
    </w:rPr>
  </w:style>
  <w:style w:type="paragraph" w:styleId="23">
    <w:name w:val="Table Grid"/>
    <w:basedOn w:val="16"/>
    <w:rPr>
      <w:b w:val="0"/>
      <w:sz w:val="20"/>
    </w:rPr>
  </w:style>
  <w:style w:type="paragraph" w:styleId="24">
    <w:name w:val="Heading 1"/>
    <w:basedOn w:val="27"/>
    <w:next w:val="27"/>
    <w:pPr>
      <w:spacing w:before="435" w:after="60"/>
    </w:pPr>
    <w:rPr>
      <w:rFonts w:ascii="Arial" w:hAnsi="Arial" w:cs="Arial" w:eastAsia="Arial"/>
      <w:b/>
      <w:sz w:val="34"/>
    </w:rPr>
  </w:style>
  <w:style w:type="paragraph" w:styleId="25">
    <w:name w:val="Header"/>
    <w:basedOn w:val="27"/>
    <w:pPr>
      <w:tabs>
        <w:tab w:val="center" w:pos="4320"/>
        <w:tab w:val="center" w:pos="8640"/>
        <w:tab w:val="clear" w:pos="0"/>
      </w:tabs>
    </w:pPr>
    <w:rPr>
      <w:sz w:val="20"/>
    </w:rPr>
  </w:style>
  <w:style w:type="paragraph" w:styleId="26">
    <w:name w:val="Upper Roman List"/>
    <w:basedOn w:val="20"/>
  </w:style>
  <w:style w:type="paragraph" w:default="1" w:styleId="27">
    <w:name w:val="Normal"/>
    <w:rPr>
      <w:rFonts w:ascii="Times New Roman" w:hAnsi="Times New Roman" w:cs="Times New Roman" w:eastAsia="Times New Roman"/>
      <w:sz w:val="24"/>
    </w:rPr>
  </w:style>
  <w:style w:type="paragraph" w:styleId="28">
    <w:name w:val="Title"/>
    <w:basedOn w:val="27"/>
    <w:pPr>
      <w:jc w:val="center"/>
    </w:pPr>
    <w:rPr>
      <w:rFonts w:ascii="Tahoma" w:hAnsi="Tahoma" w:cs="Tahoma" w:eastAsia="Tahoma"/>
      <w:u w:val="single"/>
    </w:rPr>
  </w:style>
  <w:style w:type="paragraph" w:styleId="29">
    <w:name w:val="Contents Header"/>
    <w:basedOn w:val="27"/>
    <w:next w:val="27"/>
    <w:pPr>
      <w:jc w:val="center"/>
      <w:spacing w:before="240" w:after="120"/>
    </w:pPr>
    <w:rPr>
      <w:rFonts w:ascii="Arial" w:hAnsi="Arial" w:cs="Arial" w:eastAsia="Arial"/>
      <w:b/>
      <w:sz w:val="32"/>
    </w:rPr>
  </w:style>
  <w:style w:type="paragraph" w:styleId="30">
    <w:name w:val="Plain Text"/>
    <w:basedOn w:val="27"/>
    <w:rPr>
      <w:rFonts w:ascii="Courier New" w:hAnsi="Courier New" w:cs="Courier New" w:eastAsia="Courier New"/>
    </w:rPr>
  </w:style>
  <w:style w:type="paragraph" w:styleId="31">
    <w:name w:val="Star List"/>
    <w:pPr>
      <w:ind w:left="720" w:hanging="435"/>
    </w:pPr>
    <w:rPr>
      <w:rFonts w:ascii="Tahoma" w:hAnsi="Tahoma" w:cs="Tahoma" w:eastAsia="Tahoma"/>
      <w:sz w:val="24"/>
    </w:rPr>
  </w:style>
  <w:style w:type="paragraph" w:styleId="32">
    <w:name w:val="Section Heading"/>
    <w:basedOn w:val="40"/>
    <w:next w:val="27"/>
    <w:pPr>
      <w:tabs>
        <w:tab w:val="clear" w:pos="0"/>
        <w:tab w:val="clear" w:pos="435"/>
        <w:tab w:val="left" w:pos="1590"/>
      </w:tabs>
    </w:pPr>
  </w:style>
  <w:style w:type="paragraph" w:styleId="33">
    <w:name w:val="Implies List"/>
    <w:pPr>
      <w:ind w:left="720" w:hanging="435"/>
    </w:pPr>
    <w:rPr>
      <w:rFonts w:ascii="Tahoma" w:hAnsi="Tahoma" w:cs="Tahoma" w:eastAsia="Tahoma"/>
      <w:sz w:val="24"/>
    </w:rPr>
  </w:style>
  <w:style w:type="paragraph" w:styleId="34">
    <w:name w:val="Tick List"/>
    <w:pPr>
      <w:ind w:left="720" w:hanging="435"/>
    </w:pPr>
    <w:rPr>
      <w:rFonts w:ascii="Tahoma" w:hAnsi="Tahoma" w:cs="Tahoma" w:eastAsia="Tahoma"/>
      <w:sz w:val="24"/>
    </w:rPr>
  </w:style>
  <w:style w:type="paragraph" w:styleId="35">
    <w:name w:val="Numbered Heading 3"/>
    <w:basedOn w:val="9"/>
    <w:next w:val="27"/>
    <w:pPr>
      <w:keepNext w:val="0"/>
      <w:spacing w:before="0" w:after="0"/>
      <w:tabs>
        <w:tab w:val="left" w:pos="435"/>
        <w:tab w:val="clear" w:pos="0"/>
      </w:tabs>
    </w:pPr>
    <w:rPr>
      <w:rFonts w:ascii="Tahoma" w:hAnsi="Tahoma" w:cs="Tahoma" w:eastAsia="Tahoma"/>
      <w:b w:val="0"/>
      <w:sz w:val="24"/>
    </w:rPr>
  </w:style>
  <w:style w:type="paragraph" w:styleId="36">
    <w:name w:val="Lower Roman List"/>
    <w:basedOn w:val="27"/>
    <w:pPr>
      <w:ind w:left="720" w:hanging="435"/>
    </w:pPr>
    <w:rPr>
      <w:rFonts w:ascii="Tahoma" w:hAnsi="Tahoma" w:cs="Tahoma" w:eastAsia="Tahoma"/>
    </w:rPr>
  </w:style>
  <w:style w:type="character" w:styleId="c37">
    <w:name w:val="Footnote Reference"/>
    <w:basedOn w:val="def"/>
    <w:rPr>
      <w:rFonts w:ascii="Tahoma" w:hAnsi="Tahoma" w:cs="Tahoma" w:eastAsia="Tahoma"/>
      <w:vertAlign w:val="superscript"/>
    </w:rPr>
  </w:style>
  <w:style w:type="paragraph" w:styleId="38">
    <w:name w:val="Endnote Text"/>
    <w:basedOn w:val="27"/>
    <w:link w:val="c38"/>
    <w:rPr>
      <w:rFonts w:ascii="Tahoma" w:hAnsi="Tahoma" w:cs="Tahoma" w:eastAsia="Tahoma"/>
    </w:rPr>
  </w:style>
  <w:style w:type="character" w:styleId="c38">
    <w:name w:val="Endnote Text Text"/>
    <w:basedOn w:val="def"/>
    <w:link w:val="38"/>
    <w:rPr>
      <w:rFonts w:ascii="Tahoma" w:hAnsi="Tahoma" w:cs="Tahoma" w:eastAsia="Tahoma"/>
    </w:rPr>
  </w:style>
  <w:style w:type="character" w:styleId="c39">
    <w:name w:val="Endnote Reference"/>
    <w:basedOn w:val="def"/>
    <w:rPr>
      <w:rFonts w:ascii="Tahoma" w:hAnsi="Tahoma" w:cs="Tahoma" w:eastAsia="Tahoma"/>
      <w:vertAlign w:val="superscript"/>
    </w:rPr>
  </w:style>
  <w:style w:type="paragraph" w:styleId="40">
    <w:name w:val="Numbered Heading 1"/>
    <w:basedOn w:val="24"/>
    <w:next w:val="27"/>
    <w:pPr>
      <w:spacing w:before="0" w:after="0"/>
      <w:tabs>
        <w:tab w:val="left" w:pos="435"/>
        <w:tab w:val="clear" w:pos="0"/>
      </w:tabs>
    </w:pPr>
    <w:rPr>
      <w:rFonts w:ascii="Tahoma" w:hAnsi="Tahoma" w:cs="Tahoma" w:eastAsia="Tahoma"/>
      <w:b w:val="0"/>
      <w:sz w:val="24"/>
    </w:rPr>
  </w:style>
  <w:style w:type="paragraph" w:styleId="41">
    <w:name w:val="Numbered Heading 2"/>
    <w:basedOn w:val="8"/>
    <w:next w:val="27"/>
    <w:pPr>
      <w:keepNext w:val="0"/>
      <w:spacing w:before="0" w:after="0"/>
      <w:tabs>
        <w:tab w:val="left" w:pos="435"/>
        <w:tab w:val="clear" w:pos="0"/>
      </w:tabs>
    </w:pPr>
    <w:rPr>
      <w:rFonts w:ascii="Tahoma" w:hAnsi="Tahoma" w:cs="Tahoma" w:eastAsia="Tahoma"/>
      <w:b w:val="0"/>
      <w:i w:val="0"/>
      <w:sz w:val="24"/>
    </w:rPr>
  </w:style>
  <w:style w:type="paragraph" w:styleId="42">
    <w:name w:val="Dashed List"/>
    <w:pPr>
      <w:ind w:left="720" w:hanging="435"/>
    </w:pPr>
    <w:rPr>
      <w:rFonts w:ascii="Tahoma" w:hAnsi="Tahoma" w:cs="Tahoma" w:eastAsia="Tahoma"/>
      <w:sz w:val="24"/>
    </w:rPr>
  </w:style>
  <w:style w:type="paragraph" w:styleId="43">
    <w:name w:val="Contents 1"/>
    <w:basedOn w:val="27"/>
    <w:next w:val="27"/>
    <w:pPr>
      <w:ind w:left="720" w:hanging="435"/>
    </w:pPr>
    <w:rPr>
      <w:rFonts w:ascii="Tahoma" w:hAnsi="Tahoma" w:cs="Tahoma" w:eastAsia="Tahoma"/>
    </w:rPr>
  </w:style>
  <w:style w:type="paragraph" w:styleId="44">
    <w:name w:val="Contents 2"/>
    <w:basedOn w:val="27"/>
    <w:next w:val="27"/>
    <w:pPr>
      <w:ind w:left="1440" w:hanging="435"/>
    </w:pPr>
    <w:rPr>
      <w:rFonts w:ascii="Tahoma" w:hAnsi="Tahoma" w:cs="Tahoma" w:eastAsia="Tahoma"/>
    </w:rPr>
  </w:style>
  <w:style w:type="paragraph" w:styleId="45">
    <w:name w:val="Contents 3"/>
    <w:basedOn w:val="27"/>
    <w:next w:val="27"/>
    <w:pPr>
      <w:ind w:left="2160" w:hanging="435"/>
    </w:pPr>
    <w:rPr>
      <w:rFonts w:ascii="Tahoma" w:hAnsi="Tahoma" w:cs="Tahoma" w:eastAsia="Tahoma"/>
    </w:rPr>
  </w:style>
  <w:style w:type="paragraph" w:styleId="46">
    <w:name w:val="Contents 4"/>
    <w:basedOn w:val="27"/>
    <w:next w:val="27"/>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daff.gov.za/crop" TargetMode="External"/><Relationship Id="hrId2" Type="http://schemas.openxmlformats.org/officeDocument/2006/relationships/hyperlink" Target="http://www.sagis.org.za/CEC" TargetMode="External"/><Relationship Id="hrId3" Type="http://schemas.openxmlformats.org/officeDocument/2006/relationships/hyperlink" Target="http://www.daff.gov.za/crop" TargetMode="External"/><Relationship Id="hrId4" Type="http://schemas.openxmlformats.org/officeDocument/2006/relationships/hyperlink" Target="http://www.sagis.org.za" TargetMode="External"/><Relationship Id="hrId5" Type="http://schemas.openxmlformats.org/officeDocument/2006/relationships/hyperlink" Target="http://www.daff.gov.za/crop" TargetMode="External"/><Relationship Id="hrId6" Type="http://schemas.openxmlformats.org/officeDocument/2006/relationships/hyperlink" Target="http://www.sagis.org.za" TargetMode="External"/></Relationships>
</file>