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34"/>
              <w:bidi w:val="0"/>
              <w:spacing w:before="240"/>
            </w:pPr>
            <w:r>
              <w:rPr>
                <w:sz w:val="40"/>
              </w:rPr>
              <w:t>O</w:t>
            </w:r>
            <w:r>
              <w:rPr>
                <w:sz w:val="36"/>
              </w:rPr>
              <w:t>ESSKATTINGSKOMITEE</w:t>
            </w:r>
          </w:p>
        </w:tc>
        <w:tc>
          <w:tcPr>
            <w:tcW w:w="3240" w:type="dxa"/>
            <w:shd w:val="clear" w:color="auto" w:fill="FFFFFF"/>
          </w:tcPr>
          <w:p>
            <w:pPr>
              <w:pStyle w:val="34"/>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34"/>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34"/>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24 Februarie/February 2009</w:t>
      </w:r>
    </w:p>
    <w:p>
      <w:pPr>
        <w:jc w:val="both"/>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SOMERGEWASSE – OPPERVLAKTESKATTING EN EERSTE PRODUKSIESKATTING VAN SOMERGEWASSE: 2008/09-PRODUKSIESEISOEN</w:t>
      </w:r>
    </w:p>
    <w:p>
      <w:pPr>
        <w:pStyle w:val="42"/>
        <w:jc w:val="left"/>
        <w:ind w:right="-60"/>
        <w:bidi w:val="0"/>
        <w:spacing w:after="120"/>
      </w:pPr>
      <w:r>
        <w:rPr>
          <w:sz w:val="14"/>
        </w:rPr>
        <w:t>SUMMER CROPS – AREA PLANTED ESTIMATE AND FIRST PRODUCTION FORECAST OF SUMMER CROPS: 2008/09 PRODUCTION SEASON</w:t>
      </w:r>
    </w:p>
    <w:p>
      <w:pPr>
        <w:bidi w:val="0"/>
      </w:pPr>
      <w:r>
        <w:rPr>
          <w:rFonts w:ascii="Tahoma" w:hAnsi="Tahoma" w:cs="Tahoma" w:eastAsia="Tahoma"/>
        </w:rPr>
        <w:t/>
      </w:r>
    </w:p>
    <w:tbl>
      <w:tblPr>
        <w:tblW w:w="8770" w:type="dxa"/>
        <w:tblLayout w:type="fixed"/>
        <w:tblCellMar>
          <w:top w:w="0" w:type="dxa"/>
          <w:left w:w="0" w:type="dxa"/>
          <w:bottom w:w="0" w:type="dxa"/>
          <w:right w:w="0" w:type="dxa"/>
        </w:tblCellMar>
        <w:tblInd w:w="-105" w:type="dxa"/>
      </w:tblPr>
      <w:tblGrid>
        <w:gridCol w:w="2415"/>
        <w:gridCol w:w="1290"/>
        <w:gridCol w:w="1290"/>
        <w:gridCol w:w="1125"/>
        <w:gridCol w:w="1320"/>
        <w:gridCol w:w="1320"/>
      </w:tblGrid>
      <w:tr>
        <w:tc>
          <w:tcPr>
            <w:tcW w:w="2420" w:type="dxa"/>
            <w:shd w:val="clear" w:color="auto" w:fill="FFFFFF"/>
          </w:tcPr>
          <w:p>
            <w:pPr>
              <w:pStyle w:val="42"/>
              <w:jc w:val="both"/>
              <w:ind w:right="-60"/>
              <w:bidi w:val="0"/>
              <w:spacing w:before="360"/>
            </w:pPr>
            <w:r>
              <w:rPr>
                <w:sz w:val="14"/>
              </w:rPr>
              <w:t>GEWAS/CROP</w:t>
            </w:r>
          </w:p>
        </w:tc>
        <w:tc>
          <w:tcPr>
            <w:tcW w:w="1290" w:type="dxa"/>
            <w:shd w:val="clear" w:color="auto" w:fill="FFFFFF"/>
          </w:tcPr>
          <w:p>
            <w:pPr>
              <w:pStyle w:val="42"/>
              <w:jc w:val="both"/>
              <w:ind w:right="-60"/>
              <w:bidi w:val="0"/>
              <w:spacing w:before="3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2008/09</w:t>
            </w:r>
          </w:p>
        </w:tc>
        <w:tc>
          <w:tcPr>
            <w:tcW w:w="1290" w:type="dxa"/>
            <w:shd w:val="clear" w:color="auto" w:fill="FFFFFF"/>
          </w:tcPr>
          <w:p>
            <w:pPr>
              <w:pStyle w:val="42"/>
              <w:ind w:right="-60"/>
              <w:bidi w:val="0"/>
            </w:pPr>
            <w:r>
              <w:rPr>
                <w:u w:val="none"/>
              </w:rPr>
              <w:t/>
            </w:r>
          </w:p>
          <w:p>
            <w:pPr>
              <w:pStyle w:val="42"/>
              <w:ind w:right="-60"/>
              <w:bidi w:val="0"/>
              <w:spacing w:before="60"/>
            </w:pPr>
            <w:r>
              <w:rPr>
                <w:sz w:val="14"/>
              </w:rPr>
              <w:t>1</w:t>
            </w:r>
            <w:r>
              <w:rPr>
                <w:vertAlign w:val="superscript"/>
                <w:sz w:val="14"/>
              </w:rPr>
              <w:t xml:space="preserve">ste </w:t>
            </w:r>
            <w:r>
              <w:rPr>
                <w:sz w:val="14"/>
              </w:rPr>
              <w:t>skatting/</w:t>
            </w:r>
          </w:p>
          <w:p>
            <w:pPr>
              <w:pStyle w:val="42"/>
              <w:ind w:right="-60"/>
              <w:bidi w:val="0"/>
            </w:pPr>
            <w:r>
              <w:rPr>
                <w:sz w:val="14"/>
              </w:rPr>
              <w:t>1</w:t>
            </w:r>
            <w:r>
              <w:rPr>
                <w:vertAlign w:val="superscript"/>
                <w:sz w:val="14"/>
              </w:rPr>
              <w:t xml:space="preserve">st </w:t>
            </w:r>
            <w:r>
              <w:rPr>
                <w:sz w:val="14"/>
              </w:rPr>
              <w:t>forecast</w:t>
            </w:r>
          </w:p>
          <w:p>
            <w:pPr>
              <w:pStyle w:val="42"/>
              <w:ind w:right="-60"/>
              <w:bidi w:val="0"/>
            </w:pPr>
            <w:r>
              <w:rPr>
                <w:sz w:val="14"/>
              </w:rPr>
              <w:t>2008/09</w:t>
            </w:r>
          </w:p>
        </w:tc>
        <w:tc>
          <w:tcPr>
            <w:tcW w:w="113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2007/08</w:t>
            </w:r>
          </w:p>
        </w:tc>
        <w:tc>
          <w:tcPr>
            <w:tcW w:w="132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2007/08</w:t>
            </w:r>
          </w:p>
        </w:tc>
        <w:tc>
          <w:tcPr>
            <w:tcW w:w="132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42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sz w:val="14"/>
              </w:rPr>
              <w:t>Ha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42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sz w:val="14"/>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(D)</w:t>
            </w:r>
          </w:p>
        </w:tc>
      </w:tr>
      <w:tr>
        <w:tc>
          <w:tcPr>
            <w:tcW w:w="8770" w:type="dxa"/>
            <w:gridSpan w:val="6"/>
            <w:shd w:val="clear" w:color="auto" w:fill="FFFFFF"/>
          </w:tcPr>
          <w:p>
            <w:pPr>
              <w:pStyle w:val="42"/>
              <w:ind w:right="-60"/>
              <w:bidi w:val="0"/>
              <w:spacing w:before="15" w:after="15"/>
            </w:pPr>
            <w:r>
              <w:rPr>
                <w:u w:val="none"/>
              </w:rPr>
              <w:t/>
            </w:r>
          </w:p>
          <w:p>
            <w:pPr>
              <w:ind w:right="105"/>
              <w:bidi w:val="0"/>
              <w:spacing w:before="45" w:after="45"/>
            </w:pPr>
            <w:r>
              <w:rPr>
                <w:rFonts w:ascii="Tahoma" w:hAnsi="Tahoma" w:cs="Tahoma" w:eastAsia="Tahoma"/>
                <w:sz w:val="14"/>
              </w:rPr>
              <w:t>Kommersieël/Commercial:</w:t>
            </w:r>
          </w:p>
        </w:tc>
      </w:tr>
      <w:tr>
        <w:tc>
          <w:tcPr>
            <w:tcW w:w="2420" w:type="dxa"/>
            <w:shd w:val="clear" w:color="auto" w:fill="FFFFFF"/>
          </w:tcPr>
          <w:p>
            <w:pPr>
              <w:ind w:right="105"/>
              <w:bidi w:val="0"/>
              <w:spacing w:before="45" w:after="45"/>
            </w:pPr>
            <w:r>
              <w:rPr>
                <w:rFonts w:ascii="Tahoma" w:hAnsi="Tahoma" w:cs="Tahoma" w:eastAsia="Tahoma"/>
              </w:rPr>
              <w:t/>
            </w:r>
          </w:p>
          <w:p>
            <w:pPr>
              <w:pStyle w:val="42"/>
              <w:jc w:val="both"/>
              <w:ind w:right="-105" w:firstLine="180"/>
              <w:bidi w:val="0"/>
              <w:spacing w:before="45" w:after="45"/>
            </w:pPr>
            <w:r>
              <w:rPr>
                <w:sz w:val="14"/>
              </w:rPr>
              <w:t>Witmielies/White maize</w:t>
            </w:r>
          </w:p>
        </w:tc>
        <w:tc>
          <w:tcPr>
            <w:tcW w:w="129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1  497  300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6  528 440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1 737 000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7 480 000</w:t>
            </w:r>
          </w:p>
        </w:tc>
        <w:tc>
          <w:tcPr>
            <w:tcW w:w="132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-12,72</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105" w:firstLine="180"/>
              <w:bidi w:val="0"/>
              <w:spacing w:before="45" w:after="45"/>
            </w:pPr>
            <w:r>
              <w:rPr>
                <w:sz w:val="14"/>
              </w:rPr>
              <w:t>Geelmielies/Yellow maize</w:t>
            </w:r>
          </w:p>
        </w:tc>
        <w:tc>
          <w:tcPr>
            <w:tcW w:w="129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952  500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4  688 100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1 062 000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5 220 000</w:t>
            </w:r>
          </w:p>
        </w:tc>
        <w:tc>
          <w:tcPr>
            <w:tcW w:w="132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-10,19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left"/>
              <w:ind w:right="75"/>
              <w:bidi w:val="0"/>
              <w:spacing w:before="45" w:after="45"/>
            </w:pPr>
            <w:r>
              <w:rPr>
                <w:sz w:val="14"/>
              </w:rPr>
              <w:t>Mielies/Maize</w:t>
            </w:r>
          </w:p>
        </w:tc>
        <w:tc>
          <w:tcPr>
            <w:tcW w:w="1290" w:type="dxa"/>
            <w:shd w:val="clear" w:color="auto" w:fill="FFFFFF"/>
          </w:tcPr>
          <w:p>
            <w:pPr>
              <w:pStyle w:val="42"/>
              <w:jc w:val="left"/>
              <w:ind w:right="75"/>
              <w:bidi w:val="0"/>
              <w:spacing w:before="45" w:after="45"/>
            </w:pPr>
            <w:r>
              <w:rPr>
                <w:u w:val="none"/>
              </w:rPr>
              <w:t/>
            </w:r>
          </w:p>
          <w:p>
            <w:pPr>
              <w:pStyle w:val="42"/>
              <w:jc w:val="right"/>
              <w:ind w:right="165"/>
              <w:bidi w:val="0"/>
              <w:spacing w:before="45" w:after="45"/>
            </w:pPr>
            <w:r>
              <w:rPr>
                <w:sz w:val="14"/>
              </w:rPr>
              <w:t>2  449  800</w:t>
            </w:r>
          </w:p>
        </w:tc>
        <w:tc>
          <w:tcPr>
            <w:tcW w:w="129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11  216 540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-11,68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Sonneblomsaad/Sunflower seed</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595  400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900 300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564  300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872 000</w:t>
            </w:r>
          </w:p>
        </w:tc>
        <w:tc>
          <w:tcPr>
            <w:tcW w:w="132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+3,25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Sojabone/Soya-beans</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216  250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368 875</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165  400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282 000</w:t>
            </w:r>
          </w:p>
        </w:tc>
        <w:tc>
          <w:tcPr>
            <w:tcW w:w="132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+30,81</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Grondbone/Groundnuts</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54  550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93 910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54  200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88 800</w:t>
            </w:r>
          </w:p>
        </w:tc>
        <w:tc>
          <w:tcPr>
            <w:tcW w:w="132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+5,75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Sorghum</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90  100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268 100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86  800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255 000</w:t>
            </w:r>
          </w:p>
        </w:tc>
        <w:tc>
          <w:tcPr>
            <w:tcW w:w="1320" w:type="dxa"/>
            <w:shd w:val="clear" w:color="auto" w:fill="FFFFFF"/>
          </w:tcPr>
          <w:p>
            <w:pPr>
              <w:pStyle w:val="42"/>
              <w:jc w:val="right"/>
              <w:ind w:right="165"/>
              <w:bidi w:val="0"/>
              <w:spacing w:before="45" w:after="45"/>
            </w:pPr>
            <w:r>
              <w:rPr>
                <w:u w:val="none"/>
              </w:rPr>
              <w:t/>
            </w:r>
          </w:p>
          <w:p>
            <w:pPr>
              <w:pStyle w:val="42"/>
              <w:jc w:val="right"/>
              <w:ind w:right="105"/>
              <w:bidi w:val="0"/>
              <w:spacing w:before="45" w:after="45"/>
            </w:pPr>
            <w:r>
              <w:rPr>
                <w:sz w:val="14"/>
              </w:rPr>
              <w:t>+5,14</w:t>
            </w:r>
          </w:p>
        </w:tc>
      </w:tr>
      <w:tr>
        <w:tc>
          <w:tcPr>
            <w:tcW w:w="2420" w:type="dxa"/>
            <w:shd w:val="clear" w:color="auto" w:fill="FFFFFF"/>
          </w:tcPr>
          <w:p>
            <w:pPr>
              <w:pStyle w:val="42"/>
              <w:jc w:val="right"/>
              <w:ind w:right="105"/>
              <w:bidi w:val="0"/>
              <w:spacing w:before="45" w:after="45"/>
            </w:pPr>
            <w:r>
              <w:rPr>
                <w:u w:val="none"/>
              </w:rPr>
              <w:t/>
            </w:r>
          </w:p>
          <w:p>
            <w:pPr>
              <w:pStyle w:val="42"/>
              <w:jc w:val="both"/>
              <w:ind w:right="-60"/>
              <w:bidi w:val="0"/>
              <w:spacing w:before="45" w:after="45"/>
            </w:pPr>
            <w:r>
              <w:rPr>
                <w:sz w:val="14"/>
              </w:rPr>
              <w:t>Droëbone/Dry beans</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43  800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60 790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43  800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58 975</w:t>
            </w:r>
          </w:p>
        </w:tc>
        <w:tc>
          <w:tcPr>
            <w:tcW w:w="132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+3,08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TOTAAL/TOTAL</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sz w:val="14"/>
              </w:rPr>
              <w:t>3 449 900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12  908 515</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3 713 500</w:t>
            </w:r>
          </w:p>
        </w:tc>
        <w:tc>
          <w:tcPr>
            <w:tcW w:w="132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14 256 775</w:t>
            </w:r>
          </w:p>
        </w:tc>
        <w:tc>
          <w:tcPr>
            <w:tcW w:w="1320" w:type="dxa"/>
            <w:shd w:val="clear" w:color="auto" w:fill="FFFFFF"/>
          </w:tcPr>
          <w:p>
            <w:pPr>
              <w:pStyle w:val="42"/>
              <w:jc w:val="right"/>
              <w:ind w:right="165"/>
              <w:bidi w:val="0"/>
              <w:spacing w:before="45" w:after="45"/>
            </w:pPr>
            <w:r>
              <w:rPr>
                <w:u w:val="none"/>
              </w:rPr>
              <w:t/>
            </w:r>
          </w:p>
          <w:p>
            <w:pPr>
              <w:pStyle w:val="42"/>
              <w:jc w:val="right"/>
              <w:ind w:right="105"/>
              <w:bidi w:val="0"/>
              <w:spacing w:before="45" w:after="45"/>
            </w:pPr>
            <w:r>
              <w:rPr>
                <w:sz w:val="14"/>
              </w:rPr>
              <w:t>-9,46</w:t>
            </w:r>
          </w:p>
        </w:tc>
      </w:tr>
    </w:tbl>
    <w:p>
      <w:pPr>
        <w:bidi w:val="0"/>
      </w:pPr>
      <w:r>
        <w:rPr>
          <w:rFonts w:ascii="Tahoma" w:hAnsi="Tahoma" w:cs="Tahoma" w:eastAsia="Tahoma"/>
        </w:rPr>
        <w:t/>
      </w:r>
    </w:p>
    <w:p>
      <w:pPr>
        <w:pStyle w:val="42"/>
        <w:ind w:right="-60"/>
        <w:bidi w:val="0"/>
      </w:pPr>
      <w:r>
        <w:t/>
      </w:r>
    </w:p>
    <w:p>
      <w:pPr>
        <w:pStyle w:val="42"/>
        <w:ind w:right="-60"/>
        <w:bidi w:val="0"/>
      </w:pPr>
      <w:r>
        <w:rPr>
          <w:sz w:val="16"/>
        </w:rPr>
        <w:t/>
      </w:r>
    </w:p>
    <w:p>
      <w:pPr>
        <w:pStyle w:val="42"/>
        <w:ind w:right="-60"/>
        <w:bidi w:val="0"/>
      </w:pPr>
      <w:r>
        <w:t/>
      </w:r>
    </w:p>
    <w:p>
      <w:pPr>
        <w:pStyle w:val="42"/>
        <w:ind w:right="-60"/>
        <w:bidi w:val="0"/>
      </w:pPr>
      <w:r>
        <w:t/>
      </w:r>
    </w:p>
    <w:p>
      <w:pPr>
        <w:pStyle w:val="42"/>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t/>
      </w:r>
    </w:p>
    <w:p>
      <w:pPr>
        <w:pStyle w:val="42"/>
        <w:jc w:val="left"/>
        <w:ind w:right="-60"/>
        <w:bidi w:val="0"/>
        <w:spacing w:after="60"/>
      </w:pPr>
      <w:r>
        <w:rPr>
          <w:sz w:val="14"/>
        </w:rPr>
        <w:t>WIT- EN GEELMIELIES – OPPERVLAKTE- EN EERSTE PRODUKSIESKATTING: 2008/09-PRODUKSIESEISOEN</w:t>
      </w:r>
    </w:p>
    <w:p>
      <w:pPr>
        <w:pStyle w:val="42"/>
        <w:jc w:val="left"/>
        <w:ind w:right="-60"/>
        <w:bidi w:val="0"/>
      </w:pPr>
      <w:r>
        <w:rPr>
          <w:sz w:val="14"/>
        </w:rPr>
        <w:t>WHITE AND YELLOW MAIZE – AREA PLANTED AND FIRST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2  542 500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1  579 500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4  122 000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14 800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14 840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80 840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203 500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437 500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1  204 000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1  414 800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2  618 800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148 500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392 600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174 800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567 400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1  977 500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551 000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2  528 500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1 497 300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952 500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2 449 800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6  528 440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4  688 100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11  216 540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SONNEBLOMSAAD – OPPERVLAKTE- EN EERSTE PRODUKSIESKATTING: 2008/09-PRODUKSIESEISOEN</w:t>
      </w:r>
    </w:p>
    <w:p>
      <w:pPr>
        <w:pStyle w:val="42"/>
        <w:jc w:val="left"/>
        <w:ind w:right="-60"/>
        <w:bidi w:val="0"/>
      </w:pPr>
      <w:r>
        <w:rPr>
          <w:sz w:val="14"/>
        </w:rPr>
        <w:t>SUNFLOWER SEED – AREA PLANTED AND FIRST PRODUCTION FORECAST: 2008/09 PRODUCTION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470 250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16 820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595 400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42"/>
        <w:jc w:val="left"/>
        <w:ind w:right="-60"/>
        <w:bidi w:val="0"/>
        <w:spacing w:after="60"/>
      </w:pPr>
      <w:r>
        <w:rPr>
          <w:sz w:val="14"/>
        </w:rPr>
        <w:t>SOJABONE – OPPERVLAKTE- EN EERSTE PRODUKSIESKATTING: 2008/09-PRODUKSIESEISOEN</w:t>
      </w:r>
    </w:p>
    <w:p>
      <w:pPr>
        <w:pStyle w:val="42"/>
        <w:jc w:val="left"/>
        <w:ind w:right="-60"/>
        <w:bidi w:val="0"/>
      </w:pPr>
      <w:r>
        <w:rPr>
          <w:sz w:val="14"/>
        </w:rPr>
        <w:t>SOYA-BEANS – AREA PLANTED AND FIRST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50 000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216 250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368 875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ind w:right="-60"/>
        <w:bidi w:val="0"/>
      </w:pPr>
      <w:r>
        <w:t/>
      </w:r>
    </w:p>
    <w:p>
      <w:pPr>
        <w:pStyle w:val="42"/>
        <w:jc w:val="left"/>
        <w:ind w:right="-60"/>
        <w:bidi w:val="0"/>
        <w:spacing w:after="60"/>
      </w:pPr>
      <w:r>
        <w:rPr>
          <w:sz w:val="14"/>
        </w:rPr>
        <w:t>GRONDBONE – OPPERVLAKTE- EN EERSTE PRODUKSIESKATTING: 2008/09-PRODUKSIESEISOEN</w:t>
      </w:r>
    </w:p>
    <w:p>
      <w:pPr>
        <w:pStyle w:val="42"/>
        <w:jc w:val="left"/>
        <w:ind w:right="-60"/>
        <w:bidi w:val="0"/>
      </w:pPr>
      <w:r>
        <w:rPr>
          <w:sz w:val="14"/>
        </w:rPr>
        <w:t>GROUNDNUTS – AREA PLANTED AND FIRST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30 100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93 910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SORGHUM – OPPERVLAKTE- EN EERSTE PRODUKSIESKATTING: 2008/09-PRODUKSIESEISOEN</w:t>
      </w:r>
    </w:p>
    <w:p>
      <w:pPr>
        <w:pStyle w:val="42"/>
        <w:jc w:val="left"/>
        <w:ind w:right="-60"/>
        <w:bidi w:val="0"/>
      </w:pPr>
      <w:r>
        <w:rPr>
          <w:sz w:val="14"/>
        </w:rPr>
        <w:t>SORGHUM – AREA PLANTED AND FIRST PRODUCTION FORECAST: 2008/09 PRODUCTION SEASON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52 800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268 100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sz w:val="14"/>
        </w:rPr>
        <w:t>DRO</w:t>
      </w:r>
      <w:r>
        <w:rPr>
          <w:rFonts w:ascii="Arial" w:hAnsi="Arial" w:cs="Arial" w:eastAsia="Arial"/>
          <w:sz w:val="14"/>
        </w:rPr>
        <w:t>Ë</w:t>
      </w:r>
      <w:r>
        <w:rPr>
          <w:sz w:val="14"/>
        </w:rPr>
        <w:t>BONE – OPPERVLAKTE- EN EERSTE PRODUKSIESKATTING: 2008/09-PRODUKSIESEISOEN</w:t>
      </w:r>
    </w:p>
    <w:p>
      <w:pPr>
        <w:pStyle w:val="42"/>
        <w:jc w:val="left"/>
        <w:ind w:right="-60"/>
        <w:bidi w:val="0"/>
      </w:pPr>
      <w:r>
        <w:rPr>
          <w:sz w:val="14"/>
        </w:rPr>
        <w:t>DRY BEANS – AREA PLANTED AND FIRST PRODUCTION FORECAST: 2008/09 PRODUCTION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w:t>
            </w:r>
            <w:r>
              <w:rPr>
                <w:rFonts w:ascii="Tahoma" w:hAnsi="Tahoma" w:cs="Tahoma" w:eastAsia="Tahoma"/>
                <w:b/>
                <w:vertAlign w:val="superscript"/>
                <w:sz w:val="14"/>
              </w:rPr>
              <w:t>st</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13 650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4 760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60 790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42"/>
        <w:ind w:right="-60"/>
        <w:bidi w:val="0"/>
      </w:pPr>
      <w:r>
        <w:rPr>
          <w:b/>
          <w:sz w:val="20"/>
        </w:rPr>
        <w:t>AREA ESTIMATE AND FIRST PRODUCTION FORECAST OF SUMMER CROPS/</w:t>
      </w:r>
      <w:r>
        <w:br/>
      </w:r>
      <w:r>
        <w:rPr>
          <w:b/>
          <w:sz w:val="20"/>
        </w:rPr>
        <w:t>OPPERVLAKTESKATTING EN EERSTE PRODUKSIESKATTING VIR SOMERGEWASSE</w:t>
      </w:r>
    </w:p>
    <w:p>
      <w:pPr>
        <w:pStyle w:val="42"/>
        <w:bidi w:val="0"/>
      </w:pPr>
      <w:r>
        <w:rPr>
          <w:b/>
          <w:sz w:val="20"/>
        </w:rPr>
        <w:t>24 FEBRUARY / FEBRUARIE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540"/>
        <w:gridCol w:w="7920"/>
      </w:tblGrid>
      <w:tr>
        <w:tc>
          <w:tcPr>
            <w:tcW w:w="7400" w:type="dxa"/>
            <w:shd w:val="clear" w:color="auto" w:fill="FFFFFF"/>
          </w:tcPr>
          <w:p>
            <w:r>
              <w:br w:type="page"/>
            </w:r>
          </w:p>
          <w:p>
            <w:pPr>
              <w:jc w:val="both"/>
              <w:ind w:left="75" w:right="75"/>
              <w:bidi w:val="0"/>
              <w:spacing w:after="60"/>
            </w:pPr>
            <w:r>
              <w:rPr>
                <w:rFonts w:ascii="Tahoma" w:hAnsi="Tahoma" w:cs="Tahoma" w:eastAsia="Tahoma"/>
                <w:b/>
                <w:u w:val="single"/>
                <w:sz w:val="16"/>
              </w:rPr>
              <w:t>Summer field crops – 2008/09 production season</w:t>
            </w:r>
          </w:p>
          <w:p>
            <w:pPr>
              <w:jc w:val="both"/>
              <w:ind w:left="75"/>
              <w:bidi w:val="0"/>
              <w:spacing w:after="60"/>
            </w:pPr>
            <w:r>
              <w:rPr>
                <w:rFonts w:ascii="Tahoma" w:hAnsi="Tahoma" w:cs="Tahoma" w:eastAsia="Tahoma"/>
                <w:b/>
                <w:u w:val="single"/>
                <w:sz w:val="16"/>
              </w:rPr>
              <w:t>Commercial maize</w:t>
            </w:r>
            <w:r>
              <w:rPr>
                <w:rFonts w:ascii="Tahoma" w:hAnsi="Tahoma" w:cs="Tahoma" w:eastAsia="Tahoma"/>
                <w:sz w:val="16"/>
              </w:rPr>
              <w:t>: The revised area estimate for maize is 2,450 mill. ha, which is 12,48% or 349  200 ha less than the 2,799 mill. ha planted for the previous season. The expected commercial maize crop is 11,217 mill. tons, which is 11,68% less than the 12,7 mill. tons of the previous season.</w:t>
            </w:r>
          </w:p>
          <w:p>
            <w:pPr>
              <w:jc w:val="both"/>
              <w:ind w:left="75"/>
              <w:bidi w:val="0"/>
              <w:spacing w:after="60"/>
            </w:pPr>
            <w:r>
              <w:rPr>
                <w:rFonts w:ascii="Tahoma" w:hAnsi="Tahoma" w:cs="Tahoma" w:eastAsia="Tahoma"/>
                <w:sz w:val="16"/>
              </w:rPr>
              <w:t>The revised area estimate for the Free State and Mpumalanga provinces is based on information obtained from the Producer Independent Crop Estimation System (PICES) as conducted by the National Crop Statistics Consortium (NCSC), which is led by the ARC. Information on PICES for the North-West and Gauteng provinces will be available in March 2009.</w:t>
            </w:r>
          </w:p>
          <w:p>
            <w:pPr>
              <w:jc w:val="both"/>
              <w:ind w:left="90" w:right="90"/>
              <w:bidi w:val="0"/>
              <w:spacing w:after="60"/>
            </w:pPr>
            <w:r>
              <w:rPr>
                <w:rFonts w:ascii="Tahoma" w:hAnsi="Tahoma" w:cs="Tahoma" w:eastAsia="Tahoma"/>
                <w:sz w:val="16"/>
              </w:rPr>
              <w:t>The area estimate for white maize is 1,497 mill. ha, which represents a decrease of 13,80% or 239  700 ha compared to the 1,737 mill. ha planted last season.  In the case of yellow maize the area estimate is 952 500 ha, which is 10,31% or 109  500 ha less than the 1,062 mill. ha planted last season.</w:t>
            </w:r>
          </w:p>
          <w:p>
            <w:pPr>
              <w:jc w:val="both"/>
              <w:ind w:left="120" w:right="75"/>
              <w:bidi w:val="0"/>
              <w:spacing w:after="60"/>
            </w:pPr>
            <w:r>
              <w:rPr>
                <w:rFonts w:ascii="Tahoma" w:hAnsi="Tahoma" w:cs="Tahoma" w:eastAsia="Tahoma"/>
                <w:sz w:val="16"/>
              </w:rPr>
              <w:t>The production forecast of white maize is 6,528 mill. tons, which is 12,72% less than the 7,480 mill. tons of last season.  The yield for white maize is 4,36 t/ha as against 4,31 t/ha the previous season.  In the case of yellow maize the production forecast is 4,688 mill. tons, which is 10,19% less than the 5,220 mill. tons of last season.  The yield of yellow maize is 4,92 t/ha, the same as for the previous season.</w:t>
            </w:r>
          </w:p>
          <w:p>
            <w:pPr>
              <w:jc w:val="both"/>
              <w:ind w:left="90" w:right="90"/>
              <w:bidi w:val="0"/>
              <w:spacing w:after="60"/>
            </w:pPr>
            <w:r>
              <w:rPr>
                <w:rFonts w:ascii="Tahoma" w:hAnsi="Tahoma" w:cs="Tahoma" w:eastAsia="Tahoma"/>
                <w:b/>
                <w:u w:val="single"/>
                <w:sz w:val="16"/>
              </w:rPr>
              <w:t>Sunflower seed</w:t>
            </w:r>
            <w:r>
              <w:rPr>
                <w:rFonts w:ascii="Tahoma" w:hAnsi="Tahoma" w:cs="Tahoma" w:eastAsia="Tahoma"/>
                <w:sz w:val="16"/>
              </w:rPr>
              <w:t>: The production forecast for sunflower seed is 900 300 tons, which is 3,25% more than the 872  000 tons of the previous season.  The revised area estimate for sunflower seed is 595  400 ha, which is 5,51% more than the 564  300 ha planted the previous season.  The expected yield is 1,51 t/ha as against 1,55 t/ha of the previous season.</w:t>
            </w:r>
          </w:p>
          <w:p>
            <w:pPr>
              <w:jc w:val="both"/>
              <w:ind w:left="90" w:right="90"/>
              <w:bidi w:val="0"/>
              <w:spacing w:after="60"/>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is 368  875 tons, which is 30,81% more than the 282  000 tons of the previous season.  It is estimated that 216  250 ha have been planted to soya-beans, which represents an increase of 30,74% compared to the 165  400 ha planted last season.  The expected yield is 1,71 t/ha as against 1,70 t/ha last season.</w:t>
            </w:r>
          </w:p>
          <w:p>
            <w:pPr>
              <w:jc w:val="both"/>
              <w:ind w:left="90" w:right="90"/>
              <w:bidi w:val="0"/>
              <w:spacing w:after="60"/>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93  910 tons, which is 5,75% more than the 88  800 tons of last season.  For groundnuts the area estimate is 54  550 ha, which is 0,65% more than the 54  200 ha planted for the previous season.  The expected yield is 1,72 t/ha as against 1,64 t/ha last season.</w:t>
            </w:r>
          </w:p>
          <w:p>
            <w:pPr>
              <w:jc w:val="both"/>
              <w:ind w:left="90" w:right="90"/>
              <w:bidi w:val="0"/>
              <w:spacing w:after="120"/>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268  100 tons, which is 5,14% higher than the 255  000 tons of the previous season.  The area estimate for sorghum increased by 3,80%, from 86  800 ha to 90  100 ha against the previous season.  The expected yield is 2,98 t/ha as against 2,94 t/ha of the previous season.</w:t>
            </w:r>
          </w:p>
          <w:p>
            <w:pPr>
              <w:jc w:val="both"/>
              <w:ind w:left="90" w:right="90"/>
              <w:bidi w:val="0"/>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for dry beans is 60  790 tons, which is 3,08% more than the 58  975 tons of the previous season.  For dry beans the area estimate is 43  800 ha, the same as for the previous season.  The expected yield is 1,39 t/ha as against 1,35 t/ha of the previous season.</w:t>
            </w:r>
          </w:p>
          <w:p>
            <w:pPr>
              <w:jc w:val="both"/>
              <w:ind w:left="90" w:right="90"/>
              <w:bidi w:val="0"/>
              <w:spacing w:after="60"/>
            </w:pPr>
            <w:r>
              <w:rPr>
                <w:rFonts w:ascii="Tahoma" w:hAnsi="Tahoma" w:cs="Tahoma" w:eastAsia="Tahoma"/>
                <w:sz w:val="16"/>
              </w:rPr>
              <w:t>Please note that the second production forecast for summer field crops for the 2008/09 production season will be released on 25 March 2009</w:t>
            </w:r>
            <w:r>
              <w:rPr>
                <w:rFonts w:ascii="Tahoma" w:hAnsi="Tahoma" w:cs="Tahoma" w:eastAsia="Tahoma"/>
                <w:b/>
                <w:sz w:val="16"/>
              </w:rPr>
              <w:t>.</w:t>
            </w:r>
          </w:p>
        </w:tc>
        <w:tc>
          <w:tcPr>
            <w:tcW w:w="540" w:type="dxa"/>
            <w:shd w:val="clear" w:color="auto" w:fill="FFFFFF"/>
          </w:tcPr>
          <w:p>
            <w:pPr>
              <w:jc w:val="both"/>
              <w:ind w:left="90" w:right="90"/>
              <w:bidi w:val="0"/>
              <w:spacing w:after="60"/>
            </w:pPr>
            <w:r>
              <w:rPr>
                <w:rFonts w:ascii="Tahoma" w:hAnsi="Tahoma" w:cs="Tahoma" w:eastAsia="Tahoma"/>
              </w:rPr>
              <w:t/>
            </w:r>
          </w:p>
          <w:p>
            <w:pPr>
              <w:jc w:val="both"/>
              <w:bidi w:val="0"/>
              <w:spacing w:after="60"/>
            </w:pPr>
            <w:r>
              <w:rPr>
                <w:rFonts w:ascii="Tahoma" w:hAnsi="Tahoma" w:cs="Tahoma" w:eastAsia="Tahoma"/>
              </w:rPr>
              <w:t/>
            </w:r>
          </w:p>
        </w:tc>
        <w:tc>
          <w:tcPr>
            <w:tcW w:w="7920" w:type="dxa"/>
            <w:shd w:val="clear" w:color="auto" w:fill="FFFFFF"/>
          </w:tcPr>
          <w:p>
            <w:pPr>
              <w:pStyle w:val="16"/>
              <w:jc w:val="both"/>
              <w:ind w:left="75" w:right="75"/>
              <w:bidi w:val="0"/>
              <w:spacing w:after="60"/>
              <w:tabs>
                <w:tab w:val="left" w:pos="6645"/>
              </w:tabs>
            </w:pPr>
            <w:r>
              <w:rPr>
                <w:rFonts w:ascii="Tahoma" w:hAnsi="Tahoma" w:cs="Tahoma" w:eastAsia="Tahoma"/>
                <w:b/>
                <w:u w:val="single"/>
                <w:sz w:val="16"/>
              </w:rPr>
              <w:t>Somergewasse – 2008/09 produksie-seisoen</w:t>
            </w:r>
          </w:p>
          <w:p>
            <w:pPr>
              <w:jc w:val="both"/>
              <w:ind w:left="90" w:right="75"/>
              <w:bidi w:val="0"/>
              <w:spacing w:after="60"/>
            </w:pPr>
            <w:r>
              <w:rPr>
                <w:rFonts w:ascii="Tahoma" w:hAnsi="Tahoma" w:cs="Tahoma" w:eastAsia="Tahoma"/>
                <w:b/>
                <w:u w:val="single"/>
                <w:sz w:val="16"/>
              </w:rPr>
              <w:t>Kommersiële mielies:</w:t>
            </w:r>
            <w:r>
              <w:rPr>
                <w:rFonts w:ascii="Tahoma" w:hAnsi="Tahoma" w:cs="Tahoma" w:eastAsia="Tahoma"/>
                <w:sz w:val="16"/>
              </w:rPr>
              <w:t xml:space="preserve"> Die hersiene skatting van die oppervlakte onder mielies beloop 2,450 milj. ha, wat 12,48% of 349  200 ha minder is as die 2,799 milj. ha wat verlede seisoen aangeplant is.  Die verwagte kommersiële mielie-oes is 11,217 milj. ton wat 11,68% minder is as die 12,7 milj. ton van die vorige seisoen.</w:t>
            </w:r>
          </w:p>
          <w:p>
            <w:pPr>
              <w:ind w:left="75"/>
              <w:bidi w:val="0"/>
              <w:spacing w:after="60"/>
            </w:pPr>
            <w:r>
              <w:rPr>
                <w:rFonts w:ascii="Tahoma" w:hAnsi="Tahoma" w:cs="Tahoma" w:eastAsia="Tahoma"/>
                <w:sz w:val="16"/>
              </w:rPr>
              <w:t>Die hersiene oppervlakteskatting vir die Vrystaat en Mpumalanga Provinsies is gebaseer op inligting soos verkry vanaf die Produsente Onafhanklike Oesskattingstelsel (“PICES”) , soos deur die LNR-geleide Konsortium gerapporteer. Inligting vanaf PICES vir die Noordwes en Gauteng Provinsies sal in Maart 2009 gerapporteer word.</w:t>
            </w:r>
          </w:p>
          <w:p>
            <w:pPr>
              <w:jc w:val="both"/>
              <w:ind w:left="90" w:right="75"/>
              <w:bidi w:val="0"/>
              <w:spacing w:after="75"/>
            </w:pPr>
            <w:r>
              <w:rPr>
                <w:rFonts w:ascii="Tahoma" w:hAnsi="Tahoma" w:cs="Tahoma" w:eastAsia="Tahoma"/>
                <w:sz w:val="16"/>
              </w:rPr>
              <w:t>Die oppervlak onder witmielies is 1,497 milj. ha, wat ‘n afname van 13,80% of 239  700 ha verteenwoordig vergeleke met die 1,737 milj. ha die vorige seisoen.  In die geval van geelmielies is die oppervlakteskatting 952  500 ha, 10,31% of 109  500 ha minder as die 1,062 milj. ha geplant die vorige seisoen.</w:t>
            </w:r>
          </w:p>
          <w:p>
            <w:pPr>
              <w:jc w:val="both"/>
              <w:ind w:left="120" w:right="75"/>
              <w:bidi w:val="0"/>
              <w:tabs>
                <w:tab w:val="left" w:pos="6645"/>
              </w:tabs>
            </w:pPr>
            <w:r>
              <w:rPr>
                <w:rFonts w:ascii="Tahoma" w:hAnsi="Tahoma" w:cs="Tahoma" w:eastAsia="Tahoma"/>
                <w:sz w:val="16"/>
              </w:rPr>
              <w:t>Die produksieskatting van witmielies is 6,528 miljoen ton, 12,72% minder as die 7,480 miljoen ton van die vorige seisoen.  Die opbrengs van witmielies is 4,36 t/ha teenoor die 4,31 t/ha van die vorige seisoen.  In die geval van geelmielies is die produksieskatting 4,688 miljoen ton wat 10,19% minder is as die 5,220 miljoen ton van die vorige seisoen. Die opbrengs van geelmielies is 4,92 t/ha, dieselfde as die vorige seisoen.</w:t>
            </w:r>
          </w:p>
          <w:p>
            <w:pPr>
              <w:jc w:val="both"/>
              <w:ind w:left="120" w:right="75"/>
              <w:bidi w:val="0"/>
              <w:spacing w:after="7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900 300 ton, wat 3,25% meer is as die 872  000 ton van die vorige seisoen.  Die hersiene oppervlakteskatting vir sonneblomsaad is 595 400 ha, wat omtrent 5,51% meer is as die 564  300 ha aangeplant die vorige seisoen.  Die verwagte opbrengs is 1,51 t/ha teenoor die 1,55 t/ha die vorige seisoen.</w:t>
            </w:r>
          </w:p>
          <w:p>
            <w:pPr>
              <w:jc w:val="both"/>
              <w:ind w:left="90" w:right="90"/>
              <w:bidi w:val="0"/>
              <w:spacing w:after="60"/>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sojabone is 368 875 ton, wat 30,81% meer is as die 282  000 ton van die vorige seisoen.  Die geskatte oppervlakte beplant met sojabone is 216 250 ha, wat ’n toename van 30,74% verteenwoordig vergeleke met die 165  400 ha geplant die vorige seisoen.  Die verwagte opbrengs is 1,71 t/ha teenoor die 1,70 t/ha die vorige seisoen.</w:t>
            </w:r>
          </w:p>
          <w:p>
            <w:pPr>
              <w:jc w:val="both"/>
              <w:ind w:left="90" w:right="75"/>
              <w:bidi w:val="0"/>
              <w:spacing w:after="60"/>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93 910 ton – 5,75% meer as die 88  800 ton van die vorige seisoen.  Vir grondbone is die oppervlakteskatting 54  550 ha, wat 0,65% meer is as die 54  200 ha geplant vir die vorige seisoen.  Die verwagte opbrengs is 1,72 t/ha teenoor die 1,64 t/ha die vorige seisoen.</w:t>
            </w:r>
          </w:p>
          <w:p>
            <w:pPr>
              <w:jc w:val="both"/>
              <w:ind w:left="90" w:right="75"/>
              <w:bidi w:val="0"/>
              <w:spacing w:after="120"/>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268  100 ton – 5,14% hoër as die 255  000 ton van die vorige seisoen.  Die oppervlakteskatting vir sorghum het gestyg met 3,80%, van 86  800 ha tot 90  100 ha teenoor die vorige seisoen. Die verwagte opbrengs is 2,98 t/ha teenoor die 2,94 t/ha die vorige </w:t>
            </w:r>
            <w:r>
              <w:br/>
            </w:r>
            <w:r>
              <w:rPr>
                <w:rFonts w:ascii="Tahoma" w:hAnsi="Tahoma" w:cs="Tahoma" w:eastAsia="Tahoma"/>
                <w:sz w:val="16"/>
              </w:rPr>
              <w:t>seisoen.</w:t>
            </w:r>
          </w:p>
          <w:p>
            <w:pPr>
              <w:jc w:val="both"/>
              <w:ind w:left="90" w:right="90"/>
              <w:bidi w:val="0"/>
              <w:spacing w:after="165"/>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produksieskatting 60  790 ton, 3,08% meer as die 58  975 ton van die vorige seisoen.  Vir droëbone is die geskatte oppervlakte beplant 43  800 ha, dieselfde as die vorige seisoen.  Die verwagte opbrengs is 1,39 t/ha teenoor die 1,35 t/ha die vorige seisoen.</w:t>
            </w:r>
          </w:p>
          <w:p>
            <w:pPr>
              <w:jc w:val="both"/>
              <w:ind w:left="90" w:right="75"/>
              <w:bidi w:val="0"/>
              <w:spacing w:after="60"/>
              <w:tabs>
                <w:tab w:val="left" w:pos="6645"/>
              </w:tabs>
            </w:pPr>
            <w:r>
              <w:rPr>
                <w:rFonts w:ascii="Tahoma" w:hAnsi="Tahoma" w:cs="Tahoma" w:eastAsia="Tahoma"/>
                <w:sz w:val="16"/>
              </w:rPr>
              <w:t>Neem asseblief kennis dat die tweede produksieskatting vir somergewasse vir 2008/09, op 25 Maart 2009 vrygestel sal word.</w:t>
            </w:r>
          </w:p>
        </w:tc>
      </w:tr>
    </w:tbl>
    <w:p>
      <w:pPr>
        <w:bidi w:val="0"/>
      </w:pPr>
      <w:r>
        <w:rPr>
          <w:rFonts w:ascii="Tahoma" w:hAnsi="Tahoma" w:cs="Tahoma" w:eastAsia="Tahoma"/>
        </w:rPr>
        <w:t/>
      </w:r>
    </w:p>
    <w:p>
      <w:r>
        <w:br w:type="page"/>
      </w:r>
    </w:p>
    <w:p>
      <w:pPr>
        <w:bidi w:val="0"/>
      </w:pPr>
      <w:r>
        <w:rPr>
          <w:sz w:val="16"/>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r>
              <w:br w:type="page"/>
            </w:r>
          </w:p>
          <w:p>
            <w:pPr>
              <w:jc w:val="both"/>
              <w:ind w:hanging="180"/>
              <w:bidi w:val="0"/>
            </w:pPr>
            <w:r>
              <w:rPr>
                <w:rFonts w:ascii="Tahoma" w:hAnsi="Tahoma" w:cs="Tahoma" w:eastAsia="Tahoma"/>
              </w:rPr>
              <w:t/>
            </w:r>
          </w:p>
        </w:tc>
        <w:tc>
          <w:tcPr>
            <w:tcW w:w="9890" w:type="dxa"/>
            <w:shd w:val="clear" w:color="auto" w:fill="FFFFFF"/>
          </w:tcPr>
          <w:p>
            <w:pPr>
              <w:jc w:val="both"/>
              <w:ind w:hanging="180"/>
              <w:bidi w:val="0"/>
            </w:pPr>
            <w:r>
              <w:rPr>
                <w:rFonts w:ascii="Tahoma" w:hAnsi="Tahoma" w:cs="Tahoma" w:eastAsia="Tahoma"/>
              </w:rPr>
              <w:t/>
            </w:r>
          </w:p>
          <w:p>
            <w:pPr>
              <w:pStyle w:val="34"/>
              <w:bidi w:val="0"/>
              <w:spacing w:before="240"/>
            </w:pPr>
            <w:r>
              <w:rPr>
                <w:sz w:val="40"/>
              </w:rPr>
              <w:t>O</w:t>
            </w:r>
            <w:r>
              <w:rPr>
                <w:sz w:val="36"/>
              </w:rPr>
              <w:t>ESSKATTINGSKOMITEE</w:t>
            </w:r>
          </w:p>
        </w:tc>
        <w:tc>
          <w:tcPr>
            <w:tcW w:w="3240" w:type="dxa"/>
            <w:shd w:val="clear" w:color="auto" w:fill="FFFFFF"/>
          </w:tcPr>
          <w:p>
            <w:pPr>
              <w:pStyle w:val="34"/>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34"/>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34"/>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3">
              <w:r>
                <w:rPr>
                  <w:rFonts w:ascii="Tahoma" w:hAnsi="Tahoma" w:cs="Tahoma" w:eastAsia="Tahoma"/>
                  <w:sz w:val="16"/>
                </w:rPr>
                <w:t>www.nda.agric.za/food</w:t>
              </w:r>
            </w:hyperlink>
            <w:r>
              <w:rPr>
                <w:rFonts w:ascii="Tahoma" w:hAnsi="Tahoma" w:cs="Tahoma" w:eastAsia="Tahoma"/>
                <w:sz w:val="16"/>
              </w:rPr>
              <w:t xml:space="preserve"> security statistics or </w:t>
            </w:r>
            <w:hyperlink r:id="hrId4">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24 Februarie/February 2009</w:t>
      </w:r>
    </w:p>
    <w:p>
      <w:pPr>
        <w:pStyle w:val="42"/>
        <w:jc w:val="left"/>
        <w:ind w:right="-60"/>
        <w:bidi w:val="0"/>
        <w:spacing w:before="120" w:after="60"/>
      </w:pPr>
      <w:r>
        <w:rPr>
          <w:sz w:val="14"/>
        </w:rPr>
        <w:t>WINTERGEWASSE – OPPERVLAKTE- EN SEWENDE PRODUKSIESKATTING: 2008-PRODUKSIESEISOEN</w:t>
      </w:r>
    </w:p>
    <w:p>
      <w:pPr>
        <w:pStyle w:val="42"/>
        <w:jc w:val="left"/>
        <w:ind w:right="-60"/>
        <w:bidi w:val="0"/>
        <w:spacing w:after="120"/>
      </w:pPr>
      <w:r>
        <w:rPr>
          <w:sz w:val="14"/>
        </w:rPr>
        <w:t>WINTER CEREALS –AREA PLANTED AND SEVENTH PRODUCTION ESTIMATE: 2008 PRODUCTION SEASON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105" w:type="dxa"/>
      </w:tblPr>
      <w:tblGrid>
        <w:gridCol w:w="2475"/>
        <w:gridCol w:w="1260"/>
        <w:gridCol w:w="1260"/>
        <w:gridCol w:w="1260"/>
        <w:gridCol w:w="1260"/>
        <w:gridCol w:w="1260"/>
        <w:gridCol w:w="1260"/>
      </w:tblGrid>
      <w:tr>
        <w:tc>
          <w:tcPr>
            <w:tcW w:w="2480" w:type="dxa"/>
            <w:shd w:val="clear" w:color="auto" w:fill="FFFFFF"/>
          </w:tcPr>
          <w:p>
            <w:pPr>
              <w:pStyle w:val="42"/>
              <w:jc w:val="both"/>
              <w:ind w:right="-60"/>
              <w:bidi w:val="0"/>
            </w:pPr>
            <w:r>
              <w:rPr>
                <w:sz w:val="14"/>
              </w:rPr>
              <w:t>GEWAS/CROP</w:t>
            </w:r>
          </w:p>
        </w:tc>
        <w:tc>
          <w:tcPr>
            <w:tcW w:w="1260" w:type="dxa"/>
            <w:shd w:val="clear" w:color="auto" w:fill="FFFFFF"/>
          </w:tcPr>
          <w:p>
            <w:pPr>
              <w:pStyle w:val="42"/>
              <w:jc w:val="both"/>
              <w:ind w:right="-60"/>
              <w:bidi w:val="0"/>
            </w:pPr>
            <w:r>
              <w:rPr>
                <w:u w:val="none"/>
              </w:rPr>
              <w:t/>
            </w:r>
          </w:p>
          <w:p>
            <w:pPr>
              <w:pStyle w:val="42"/>
              <w:ind w:left="-240" w:right="-165"/>
              <w:bidi w:val="0"/>
            </w:pPr>
            <w:r>
              <w:rPr>
                <w:sz w:val="14"/>
              </w:rPr>
              <w:t>Opp beplant/</w:t>
            </w:r>
          </w:p>
          <w:p>
            <w:pPr>
              <w:pStyle w:val="42"/>
              <w:ind w:left="-240" w:right="-165"/>
              <w:bidi w:val="0"/>
            </w:pPr>
            <w:r>
              <w:rPr>
                <w:sz w:val="14"/>
              </w:rPr>
              <w:t>Area planted</w:t>
            </w:r>
          </w:p>
          <w:p>
            <w:pPr>
              <w:pStyle w:val="42"/>
              <w:ind w:left="-240" w:right="-165"/>
              <w:bidi w:val="0"/>
            </w:pPr>
            <w:r>
              <w:rPr>
                <w:sz w:val="14"/>
              </w:rPr>
              <w:t>2008</w:t>
            </w:r>
          </w:p>
        </w:tc>
        <w:tc>
          <w:tcPr>
            <w:tcW w:w="1260" w:type="dxa"/>
            <w:shd w:val="clear" w:color="auto" w:fill="FFFFFF"/>
          </w:tcPr>
          <w:p>
            <w:pPr>
              <w:pStyle w:val="42"/>
              <w:ind w:left="-240" w:right="-165"/>
              <w:bidi w:val="0"/>
            </w:pPr>
            <w:r>
              <w:rPr>
                <w:u w:val="none"/>
              </w:rPr>
              <w:t/>
            </w:r>
          </w:p>
          <w:p>
            <w:pPr>
              <w:pStyle w:val="42"/>
              <w:ind w:right="-60"/>
              <w:bidi w:val="0"/>
            </w:pPr>
            <w:r>
              <w:rPr>
                <w:b/>
                <w:sz w:val="14"/>
              </w:rPr>
              <w:t>7</w:t>
            </w:r>
            <w:r>
              <w:rPr>
                <w:b/>
                <w:vertAlign w:val="superscript"/>
                <w:sz w:val="14"/>
              </w:rPr>
              <w:t>de</w:t>
            </w:r>
            <w:r>
              <w:rPr>
                <w:b/>
                <w:sz w:val="14"/>
              </w:rPr>
              <w:t xml:space="preserve"> skatting/ </w:t>
            </w:r>
          </w:p>
          <w:p>
            <w:pPr>
              <w:pStyle w:val="42"/>
              <w:ind w:right="-60"/>
              <w:bidi w:val="0"/>
            </w:pPr>
            <w:r>
              <w:rPr>
                <w:b/>
                <w:sz w:val="14"/>
              </w:rPr>
              <w:t>7</w:t>
            </w:r>
            <w:r>
              <w:rPr>
                <w:b/>
                <w:vertAlign w:val="superscript"/>
                <w:sz w:val="14"/>
              </w:rPr>
              <w:t>th</w:t>
            </w:r>
            <w:r>
              <w:rPr>
                <w:b/>
                <w:sz w:val="14"/>
              </w:rPr>
              <w:t xml:space="preserve"> estimate</w:t>
            </w:r>
          </w:p>
          <w:p>
            <w:pPr>
              <w:pStyle w:val="42"/>
              <w:ind w:right="-60"/>
              <w:bidi w:val="0"/>
            </w:pPr>
            <w:r>
              <w:rPr>
                <w:b/>
                <w:sz w:val="14"/>
              </w:rPr>
              <w:t>2008</w:t>
            </w:r>
          </w:p>
        </w:tc>
        <w:tc>
          <w:tcPr>
            <w:tcW w:w="1260" w:type="dxa"/>
            <w:shd w:val="clear" w:color="auto" w:fill="FFFFFF"/>
          </w:tcPr>
          <w:p>
            <w:pPr>
              <w:pStyle w:val="42"/>
              <w:ind w:right="-60"/>
              <w:bidi w:val="0"/>
            </w:pPr>
            <w:r>
              <w:rPr>
                <w:u w:val="none"/>
              </w:rPr>
              <w:t/>
            </w:r>
          </w:p>
          <w:p>
            <w:pPr>
              <w:pStyle w:val="42"/>
              <w:ind w:right="-60"/>
              <w:bidi w:val="0"/>
            </w:pPr>
            <w:r>
              <w:rPr>
                <w:sz w:val="14"/>
              </w:rPr>
              <w:t>6</w:t>
            </w:r>
            <w:r>
              <w:rPr>
                <w:vertAlign w:val="superscript"/>
                <w:sz w:val="14"/>
              </w:rPr>
              <w:t>de</w:t>
            </w:r>
            <w:r>
              <w:rPr>
                <w:sz w:val="14"/>
              </w:rPr>
              <w:t xml:space="preserve"> skatting/ </w:t>
            </w:r>
          </w:p>
          <w:p>
            <w:pPr>
              <w:pStyle w:val="42"/>
              <w:ind w:right="-60"/>
              <w:bidi w:val="0"/>
            </w:pPr>
            <w:r>
              <w:rPr>
                <w:sz w:val="14"/>
              </w:rPr>
              <w:t>6</w:t>
            </w:r>
            <w:r>
              <w:rPr>
                <w:vertAlign w:val="superscript"/>
                <w:sz w:val="14"/>
              </w:rPr>
              <w:t>th</w:t>
            </w:r>
            <w:r>
              <w:rPr>
                <w:sz w:val="14"/>
              </w:rPr>
              <w:t xml:space="preserve"> forecast</w:t>
            </w:r>
          </w:p>
          <w:p>
            <w:pPr>
              <w:pStyle w:val="42"/>
              <w:ind w:right="-60"/>
              <w:bidi w:val="0"/>
            </w:pPr>
            <w:r>
              <w:rPr>
                <w:sz w:val="14"/>
              </w:rPr>
              <w:t>2008</w:t>
            </w:r>
          </w:p>
        </w:tc>
        <w:tc>
          <w:tcPr>
            <w:tcW w:w="1260" w:type="dxa"/>
            <w:shd w:val="clear" w:color="auto" w:fill="FFFFFF"/>
          </w:tcPr>
          <w:p>
            <w:pPr>
              <w:pStyle w:val="42"/>
              <w:ind w:right="-60"/>
              <w:bidi w:val="0"/>
            </w:pPr>
            <w:r>
              <w:rPr>
                <w:u w:val="none"/>
              </w:rPr>
              <w:t/>
            </w:r>
          </w:p>
          <w:p>
            <w:pPr>
              <w:pStyle w:val="42"/>
              <w:ind w:right="-75" w:hanging="120"/>
              <w:bidi w:val="0"/>
            </w:pPr>
            <w:r>
              <w:rPr>
                <w:sz w:val="14"/>
              </w:rPr>
              <w:t>Opp beplant/</w:t>
            </w:r>
          </w:p>
          <w:p>
            <w:pPr>
              <w:pStyle w:val="42"/>
              <w:ind w:right="-75" w:hanging="120"/>
              <w:bidi w:val="0"/>
            </w:pPr>
            <w:r>
              <w:rPr>
                <w:sz w:val="14"/>
              </w:rPr>
              <w:t>Area planted</w:t>
            </w:r>
          </w:p>
          <w:p>
            <w:pPr>
              <w:pStyle w:val="42"/>
              <w:ind w:right="-75" w:hanging="120"/>
              <w:bidi w:val="0"/>
            </w:pPr>
            <w:r>
              <w:rPr>
                <w:sz w:val="14"/>
              </w:rPr>
              <w:t>2007</w:t>
            </w:r>
          </w:p>
        </w:tc>
        <w:tc>
          <w:tcPr>
            <w:tcW w:w="1260" w:type="dxa"/>
            <w:shd w:val="clear" w:color="auto" w:fill="FFFFFF"/>
          </w:tcPr>
          <w:p>
            <w:pPr>
              <w:pStyle w:val="42"/>
              <w:ind w:right="-75" w:hanging="120"/>
              <w:bidi w:val="0"/>
            </w:pPr>
            <w:r>
              <w:rPr>
                <w:u w:val="none"/>
              </w:rPr>
              <w:t/>
            </w:r>
          </w:p>
          <w:p>
            <w:pPr>
              <w:pStyle w:val="42"/>
              <w:ind w:right="-60"/>
              <w:bidi w:val="0"/>
            </w:pPr>
            <w:r>
              <w:rPr>
                <w:sz w:val="14"/>
              </w:rPr>
              <w:t>Finale oes/</w:t>
            </w:r>
          </w:p>
          <w:p>
            <w:pPr>
              <w:pStyle w:val="42"/>
              <w:ind w:right="-60"/>
              <w:bidi w:val="0"/>
            </w:pPr>
            <w:r>
              <w:rPr>
                <w:sz w:val="14"/>
              </w:rPr>
              <w:t>Final crop</w:t>
            </w:r>
          </w:p>
          <w:p>
            <w:pPr>
              <w:pStyle w:val="42"/>
              <w:ind w:right="-60"/>
              <w:bidi w:val="0"/>
            </w:pPr>
            <w:r>
              <w:rPr>
                <w:sz w:val="14"/>
              </w:rPr>
              <w:t>2007</w:t>
            </w:r>
          </w:p>
        </w:tc>
        <w:tc>
          <w:tcPr>
            <w:tcW w:w="1260" w:type="dxa"/>
            <w:shd w:val="clear" w:color="auto" w:fill="FFFFFF"/>
          </w:tcPr>
          <w:p>
            <w:pPr>
              <w:pStyle w:val="42"/>
              <w:ind w:right="-60"/>
              <w:bidi w:val="0"/>
            </w:pPr>
            <w:r>
              <w:rPr>
                <w:u w:val="none"/>
              </w:rPr>
              <w:t/>
            </w:r>
          </w:p>
          <w:p>
            <w:pPr>
              <w:pStyle w:val="42"/>
              <w:ind w:right="-105"/>
              <w:bidi w:val="0"/>
            </w:pPr>
            <w:r>
              <w:rPr>
                <w:sz w:val="14"/>
              </w:rPr>
              <w:t>Verandering/</w:t>
            </w:r>
          </w:p>
          <w:p>
            <w:pPr>
              <w:pStyle w:val="42"/>
              <w:ind w:right="-105"/>
              <w:bidi w:val="0"/>
            </w:pPr>
            <w:r>
              <w:rPr>
                <w:sz w:val="14"/>
              </w:rPr>
              <w:t>Change</w:t>
            </w:r>
          </w:p>
        </w:tc>
      </w:tr>
      <w:tr>
        <w:tc>
          <w:tcPr>
            <w:tcW w:w="2480" w:type="dxa"/>
            <w:shd w:val="clear" w:color="auto" w:fill="FFFFFF"/>
          </w:tcPr>
          <w:p>
            <w:pPr>
              <w:pStyle w:val="42"/>
              <w:ind w:right="-105"/>
              <w:bidi w:val="0"/>
            </w:pPr>
            <w:r>
              <w:rPr>
                <w:u w:val="none"/>
              </w:rPr>
              <w:t/>
            </w:r>
          </w:p>
          <w:p>
            <w:pPr>
              <w:pStyle w:val="42"/>
              <w:jc w:val="both"/>
              <w:ind w:right="-60"/>
              <w:bidi w:val="0"/>
            </w:pPr>
            <w:r>
              <w:rPr>
                <w:u w:val="none"/>
              </w:rPr>
              <w:t/>
            </w:r>
          </w:p>
        </w:tc>
        <w:tc>
          <w:tcPr>
            <w:tcW w:w="1260" w:type="dxa"/>
            <w:shd w:val="clear" w:color="auto" w:fill="FFFFFF"/>
          </w:tcPr>
          <w:p>
            <w:pPr>
              <w:pStyle w:val="42"/>
              <w:ind w:right="-60"/>
              <w:bidi w:val="0"/>
            </w:pPr>
            <w:r>
              <w:rPr>
                <w:sz w:val="14"/>
              </w:rPr>
              <w:t>Ha</w:t>
            </w:r>
          </w:p>
        </w:tc>
        <w:tc>
          <w:tcPr>
            <w:tcW w:w="1260" w:type="dxa"/>
            <w:shd w:val="clear" w:color="auto" w:fill="FFFFFF"/>
          </w:tcPr>
          <w:p>
            <w:pPr>
              <w:pStyle w:val="42"/>
              <w:ind w:right="-60"/>
              <w:bidi w:val="0"/>
            </w:pPr>
            <w:r>
              <w:rPr>
                <w:u w:val="none"/>
              </w:rPr>
              <w:t/>
            </w:r>
          </w:p>
          <w:p>
            <w:pPr>
              <w:pStyle w:val="42"/>
              <w:ind w:right="-60"/>
              <w:bidi w:val="0"/>
            </w:pPr>
            <w:r>
              <w:rPr>
                <w:b/>
                <w:sz w:val="14"/>
              </w:rPr>
              <w:t>Tons</w:t>
            </w:r>
          </w:p>
        </w:tc>
        <w:tc>
          <w:tcPr>
            <w:tcW w:w="1260" w:type="dxa"/>
            <w:shd w:val="clear" w:color="auto" w:fill="FFFFFF"/>
          </w:tcPr>
          <w:p>
            <w:pPr>
              <w:pStyle w:val="42"/>
              <w:ind w:right="-60"/>
              <w:bidi w:val="0"/>
            </w:pPr>
            <w:r>
              <w:rPr>
                <w:u w:val="none"/>
              </w:rPr>
              <w:t/>
            </w:r>
          </w:p>
          <w:p>
            <w:pPr>
              <w:pStyle w:val="42"/>
              <w:ind w:right="-60"/>
              <w:bidi w:val="0"/>
            </w:pPr>
            <w:r>
              <w:rPr>
                <w:sz w:val="14"/>
              </w:rPr>
              <w:t>Tons</w:t>
            </w:r>
          </w:p>
        </w:tc>
        <w:tc>
          <w:tcPr>
            <w:tcW w:w="1260" w:type="dxa"/>
            <w:shd w:val="clear" w:color="auto" w:fill="FFFFFF"/>
          </w:tcPr>
          <w:p>
            <w:pPr>
              <w:pStyle w:val="42"/>
              <w:ind w:right="-60"/>
              <w:bidi w:val="0"/>
            </w:pPr>
            <w:r>
              <w:rPr>
                <w:u w:val="none"/>
              </w:rPr>
              <w:t/>
            </w:r>
          </w:p>
          <w:p>
            <w:pPr>
              <w:pStyle w:val="42"/>
              <w:ind w:right="-60"/>
              <w:bidi w:val="0"/>
            </w:pPr>
            <w:r>
              <w:rPr>
                <w:sz w:val="14"/>
              </w:rPr>
              <w:t>Ha</w:t>
            </w:r>
          </w:p>
        </w:tc>
        <w:tc>
          <w:tcPr>
            <w:tcW w:w="1260" w:type="dxa"/>
            <w:shd w:val="clear" w:color="auto" w:fill="FFFFFF"/>
          </w:tcPr>
          <w:p>
            <w:pPr>
              <w:pStyle w:val="42"/>
              <w:ind w:right="-60"/>
              <w:bidi w:val="0"/>
            </w:pPr>
            <w:r>
              <w:rPr>
                <w:u w:val="none"/>
              </w:rPr>
              <w:t/>
            </w:r>
          </w:p>
          <w:p>
            <w:pPr>
              <w:pStyle w:val="42"/>
              <w:ind w:right="-60"/>
              <w:bidi w:val="0"/>
            </w:pPr>
            <w:r>
              <w:rPr>
                <w:sz w:val="14"/>
              </w:rPr>
              <w:t>Tons</w:t>
            </w:r>
          </w:p>
        </w:tc>
        <w:tc>
          <w:tcPr>
            <w:tcW w:w="1260" w:type="dxa"/>
            <w:shd w:val="clear" w:color="auto" w:fill="FFFFFF"/>
          </w:tcPr>
          <w:p>
            <w:pPr>
              <w:pStyle w:val="42"/>
              <w:ind w:right="-60"/>
              <w:bidi w:val="0"/>
            </w:pPr>
            <w:r>
              <w:rPr>
                <w:u w:val="none"/>
              </w:rPr>
              <w:t/>
            </w:r>
          </w:p>
          <w:p>
            <w:pPr>
              <w:pStyle w:val="42"/>
              <w:ind w:right="-60"/>
              <w:bidi w:val="0"/>
            </w:pPr>
            <w:r>
              <w:rPr>
                <w:sz w:val="14"/>
              </w:rPr>
              <w:t>%</w:t>
            </w:r>
          </w:p>
        </w:tc>
      </w:tr>
      <w:tr>
        <w:tc>
          <w:tcPr>
            <w:tcW w:w="2480" w:type="dxa"/>
            <w:shd w:val="clear" w:color="auto" w:fill="FFFFFF"/>
          </w:tcPr>
          <w:p>
            <w:pPr>
              <w:pStyle w:val="42"/>
              <w:ind w:right="-60"/>
              <w:bidi w:val="0"/>
            </w:pPr>
            <w:r>
              <w:rPr>
                <w:u w:val="none"/>
              </w:rPr>
              <w:t/>
            </w:r>
          </w:p>
          <w:p>
            <w:pPr>
              <w:pStyle w:val="42"/>
              <w:jc w:val="both"/>
              <w:ind w:right="-60"/>
              <w:bidi w:val="0"/>
            </w:pPr>
            <w:r>
              <w:rPr>
                <w:u w:val="none"/>
              </w:rPr>
              <w:t/>
            </w:r>
          </w:p>
        </w:tc>
        <w:tc>
          <w:tcPr>
            <w:tcW w:w="1260" w:type="dxa"/>
            <w:shd w:val="clear" w:color="auto" w:fill="FFFFFF"/>
          </w:tcPr>
          <w:p>
            <w:pPr>
              <w:pStyle w:val="42"/>
              <w:ind w:right="-60"/>
              <w:bidi w:val="0"/>
            </w:pPr>
            <w:r>
              <w:rPr>
                <w:sz w:val="14"/>
              </w:rPr>
              <w:t>(A)</w:t>
            </w:r>
          </w:p>
        </w:tc>
        <w:tc>
          <w:tcPr>
            <w:tcW w:w="1260" w:type="dxa"/>
            <w:shd w:val="clear" w:color="auto" w:fill="FFFFFF"/>
          </w:tcPr>
          <w:p>
            <w:pPr>
              <w:pStyle w:val="42"/>
              <w:ind w:right="-60"/>
              <w:bidi w:val="0"/>
            </w:pPr>
            <w:r>
              <w:rPr>
                <w:u w:val="none"/>
              </w:rPr>
              <w:t/>
            </w:r>
          </w:p>
          <w:p>
            <w:pPr>
              <w:pStyle w:val="42"/>
              <w:ind w:right="-60"/>
              <w:bidi w:val="0"/>
            </w:pPr>
            <w:r>
              <w:rPr>
                <w:b/>
                <w:sz w:val="14"/>
              </w:rPr>
              <w:t>(B)</w:t>
            </w:r>
          </w:p>
        </w:tc>
        <w:tc>
          <w:tcPr>
            <w:tcW w:w="1260" w:type="dxa"/>
            <w:shd w:val="clear" w:color="auto" w:fill="FFFFFF"/>
          </w:tcPr>
          <w:p>
            <w:pPr>
              <w:pStyle w:val="42"/>
              <w:ind w:right="-60"/>
              <w:bidi w:val="0"/>
            </w:pPr>
            <w:r>
              <w:rPr>
                <w:u w:val="none"/>
              </w:rPr>
              <w:t/>
            </w:r>
          </w:p>
          <w:p>
            <w:pPr>
              <w:pStyle w:val="42"/>
              <w:ind w:right="-60"/>
              <w:bidi w:val="0"/>
            </w:pPr>
            <w:r>
              <w:rPr>
                <w:sz w:val="14"/>
              </w:rPr>
              <w:t>(C)</w:t>
            </w:r>
          </w:p>
        </w:tc>
        <w:tc>
          <w:tcPr>
            <w:tcW w:w="1260" w:type="dxa"/>
            <w:shd w:val="clear" w:color="auto" w:fill="FFFFFF"/>
          </w:tcPr>
          <w:p>
            <w:pPr>
              <w:pStyle w:val="42"/>
              <w:ind w:right="-60"/>
              <w:bidi w:val="0"/>
            </w:pPr>
            <w:r>
              <w:rPr>
                <w:u w:val="none"/>
              </w:rPr>
              <w:t/>
            </w:r>
          </w:p>
          <w:p>
            <w:pPr>
              <w:pStyle w:val="42"/>
              <w:ind w:right="-60"/>
              <w:bidi w:val="0"/>
            </w:pPr>
            <w:r>
              <w:rPr>
                <w:sz w:val="14"/>
              </w:rPr>
              <w:t>(D)</w:t>
            </w:r>
          </w:p>
        </w:tc>
        <w:tc>
          <w:tcPr>
            <w:tcW w:w="1260" w:type="dxa"/>
            <w:shd w:val="clear" w:color="auto" w:fill="FFFFFF"/>
          </w:tcPr>
          <w:p>
            <w:pPr>
              <w:pStyle w:val="42"/>
              <w:ind w:right="-60"/>
              <w:bidi w:val="0"/>
            </w:pPr>
            <w:r>
              <w:rPr>
                <w:u w:val="none"/>
              </w:rPr>
              <w:t/>
            </w:r>
          </w:p>
          <w:p>
            <w:pPr>
              <w:pStyle w:val="42"/>
              <w:ind w:right="-60"/>
              <w:bidi w:val="0"/>
            </w:pPr>
            <w:r>
              <w:rPr>
                <w:sz w:val="14"/>
              </w:rPr>
              <w:t>(E)</w:t>
            </w:r>
          </w:p>
        </w:tc>
        <w:tc>
          <w:tcPr>
            <w:tcW w:w="1260" w:type="dxa"/>
            <w:shd w:val="clear" w:color="auto" w:fill="FFFFFF"/>
          </w:tcPr>
          <w:p>
            <w:pPr>
              <w:pStyle w:val="42"/>
              <w:ind w:right="-60"/>
              <w:bidi w:val="0"/>
            </w:pPr>
            <w:r>
              <w:rPr>
                <w:u w:val="none"/>
              </w:rPr>
              <w:t/>
            </w:r>
          </w:p>
          <w:p>
            <w:pPr>
              <w:pStyle w:val="42"/>
              <w:ind w:right="-60"/>
              <w:bidi w:val="0"/>
            </w:pPr>
            <w:r>
              <w:rPr>
                <w:sz w:val="14"/>
              </w:rPr>
              <w:t>(B) ÷ (C)</w:t>
            </w:r>
          </w:p>
        </w:tc>
      </w:tr>
      <w:tr>
        <w:tc>
          <w:tcPr>
            <w:tcW w:w="10040" w:type="dxa"/>
            <w:gridSpan w:val="7"/>
            <w:shd w:val="clear" w:color="auto" w:fill="FFFFFF"/>
          </w:tcPr>
          <w:p>
            <w:pPr>
              <w:pStyle w:val="42"/>
              <w:ind w:right="-60"/>
              <w:bidi w:val="0"/>
            </w:pPr>
            <w:r>
              <w:rPr>
                <w:u w:val="none"/>
              </w:rPr>
              <w:t/>
            </w:r>
          </w:p>
          <w:p>
            <w:pPr>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Kommersieel / Commercial:</w:t>
            </w:r>
          </w:p>
        </w:tc>
      </w:tr>
      <w:tr>
        <w:tc>
          <w:tcPr>
            <w:tcW w:w="2480" w:type="dxa"/>
            <w:shd w:val="clear" w:color="auto" w:fill="FFFFFF"/>
          </w:tcPr>
          <w:p>
            <w:pPr>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left"/>
              <w:ind w:right="75"/>
              <w:bidi w:val="0"/>
              <w:spacing w:before="45" w:after="45"/>
            </w:pPr>
            <w:r>
              <w:rPr>
                <w:sz w:val="14"/>
              </w:rPr>
              <w:t>Koring/Wheat</w:t>
            </w:r>
          </w:p>
        </w:tc>
        <w:tc>
          <w:tcPr>
            <w:tcW w:w="1260" w:type="dxa"/>
            <w:shd w:val="clear" w:color="auto" w:fill="FFFFFF"/>
          </w:tcPr>
          <w:p>
            <w:pPr>
              <w:pStyle w:val="42"/>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2 089 775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2 079 925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632 000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1 905 000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+0,47</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Moutgars/Malting barley</w:t>
            </w:r>
          </w:p>
        </w:tc>
        <w:tc>
          <w:tcPr>
            <w:tcW w:w="126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194 399</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194 399</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73 360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222 500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Kanola/Canola</w:t>
            </w:r>
          </w:p>
        </w:tc>
        <w:tc>
          <w:tcPr>
            <w:tcW w:w="126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32 300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32 300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33 200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38 150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Totaal/Total</w:t>
            </w:r>
          </w:p>
        </w:tc>
        <w:tc>
          <w:tcPr>
            <w:tcW w:w="126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2 316 474</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2 306 624</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738 560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2  165 650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+0,43</w:t>
            </w:r>
          </w:p>
        </w:tc>
      </w:tr>
    </w:tbl>
    <w:p>
      <w:pPr>
        <w:bidi w:val="0"/>
      </w:pPr>
      <w:r>
        <w:rPr>
          <w:rFonts w:ascii="Tahoma" w:hAnsi="Tahoma" w:cs="Tahoma" w:eastAsia="Tahoma"/>
        </w:rPr>
        <w:t/>
      </w:r>
    </w:p>
    <w:p>
      <w:pPr>
        <w:pStyle w:val="42"/>
        <w:ind w:right="-60"/>
        <w:bidi w:val="0"/>
      </w:pPr>
      <w:r>
        <w:t/>
      </w:r>
    </w:p>
    <w:p>
      <w:pPr>
        <w:pStyle w:val="42"/>
        <w:jc w:val="left"/>
        <w:ind w:right="-60"/>
        <w:bidi w:val="0"/>
      </w:pPr>
      <w:r>
        <w:rPr>
          <w:sz w:val="14"/>
        </w:rPr>
        <w:t>KORING – OPPERVLAKTE- EN SEWEBDE PRODUKSIESKATTING: 2008-PRODUKSIESEISOEN</w:t>
      </w:r>
    </w:p>
    <w:p>
      <w:pPr>
        <w:pStyle w:val="42"/>
        <w:jc w:val="left"/>
        <w:ind w:right="-60"/>
        <w:bidi w:val="0"/>
      </w:pPr>
      <w:r>
        <w:rPr>
          <w:sz w:val="14"/>
        </w:rPr>
        <w:t>WHEAT – AREA PLANTED AND SEVENTH PRODUCTION ESTIMATE: 2008 PRODUCTION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w:t>
            </w:r>
            <w:r>
              <w:rPr>
                <w:rFonts w:ascii="Tahoma" w:hAnsi="Tahoma" w:cs="Tahoma" w:eastAsia="Tahoma"/>
                <w:vertAlign w:val="superscript"/>
                <w:sz w:val="14"/>
              </w:rPr>
              <w:t xml:space="preserve">de </w:t>
            </w:r>
            <w:r>
              <w:rPr>
                <w:rFonts w:ascii="Tahoma" w:hAnsi="Tahoma" w:cs="Tahoma" w:eastAsia="Tahoma"/>
                <w:sz w:val="14"/>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w:t>
            </w:r>
            <w:r>
              <w:rPr>
                <w:rFonts w:ascii="Tahoma" w:hAnsi="Tahoma" w:cs="Tahoma" w:eastAsia="Tahoma"/>
                <w:vertAlign w:val="superscript"/>
                <w:sz w:val="14"/>
              </w:rPr>
              <w:t>th</w:t>
            </w:r>
            <w:r>
              <w:rPr>
                <w:rFonts w:ascii="Tahoma" w:hAnsi="Tahoma" w:cs="Tahoma" w:eastAsia="Tahoma"/>
                <w:sz w:val="14"/>
              </w:rPr>
              <w:t xml:space="preserve">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r>
      <w:tr>
        <w:tc>
          <w:tcPr>
            <w:tcW w:w="2360" w:type="dxa"/>
            <w:shd w:val="clear" w:color="auto" w:fill="FFFFFF"/>
          </w:tcPr>
          <w:p>
            <w:pPr>
              <w:pStyle w:val="42"/>
              <w:ind w:right="-60"/>
              <w:bidi w:val="0"/>
              <w:spacing w:before="15"/>
            </w:pPr>
            <w:r>
              <w:rPr>
                <w:u w:val="none"/>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840 000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812 000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264 500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215 000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570 000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3 800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36 375</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6 000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45" w:after="45"/>
              <w:tabs>
                <w:tab w:val="left" w:pos="135"/>
              </w:tabs>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44 000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45" w:after="45"/>
              <w:tabs>
                <w:tab w:val="left" w:pos="135"/>
              </w:tabs>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60 450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12 400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1 700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11 050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45" w:after="45"/>
              <w:tabs>
                <w:tab w:val="left" w:pos="135"/>
              </w:tabs>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140 000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118 000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45" w:after="4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2 089 775</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632 000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1 905 000</w:t>
            </w:r>
          </w:p>
        </w:tc>
      </w:tr>
    </w:tbl>
    <w:p>
      <w:pPr>
        <w:bidi w:val="0"/>
      </w:pPr>
      <w:r>
        <w:rPr>
          <w:rFonts w:ascii="Tahoma" w:hAnsi="Tahoma" w:cs="Tahoma" w:eastAsia="Tahoma"/>
        </w:rPr>
        <w:t/>
      </w:r>
    </w:p>
    <w:p>
      <w:pPr>
        <w:pStyle w:val="42"/>
        <w:ind w:right="-60"/>
        <w:bidi w:val="0"/>
      </w:pPr>
      <w:r>
        <w:t/>
      </w:r>
    </w:p>
    <w:p>
      <w:pPr>
        <w:pStyle w:val="42"/>
        <w:ind w:right="-60"/>
        <w:bidi w:val="0"/>
      </w:pPr>
      <w:r>
        <w:rPr>
          <w:b/>
          <w:sz w:val="20"/>
        </w:rPr>
        <w:t>FINAL PRODUCTION ESTIMATE FOR WINTER CROPS/</w:t>
      </w:r>
      <w:r>
        <w:br/>
      </w:r>
      <w:r>
        <w:rPr>
          <w:b/>
          <w:sz w:val="20"/>
        </w:rPr>
        <w:t>FINALE PRODUKSIESKATTING VIR WINTERGEWASSE</w:t>
      </w:r>
    </w:p>
    <w:p>
      <w:pPr>
        <w:pStyle w:val="42"/>
        <w:bidi w:val="0"/>
      </w:pPr>
      <w:r>
        <w:rPr>
          <w:b/>
          <w:sz w:val="20"/>
        </w:rPr>
        <w:t>24 FEBRUARY / FEBRUARIE 2009</w:t>
      </w:r>
    </w:p>
    <w:p>
      <w:pPr>
        <w:bidi w:val="0"/>
      </w:pPr>
      <w:r>
        <w:t/>
      </w:r>
    </w:p>
    <w:p>
      <w:pPr>
        <w:bidi w:val="0"/>
      </w:pPr>
      <w:r>
        <w:rPr>
          <w:rFonts w:ascii="Tahoma" w:hAnsi="Tahoma" w:cs="Tahoma" w:eastAsia="Tahoma"/>
        </w:rPr>
        <w:t/>
      </w:r>
    </w:p>
    <w:tbl>
      <w:tblPr>
        <w:tblW w:w="15900" w:type="dxa"/>
        <w:tblLayout w:type="fixed"/>
        <w:tblCellMar>
          <w:top w:w="0" w:type="dxa"/>
          <w:left w:w="0" w:type="dxa"/>
          <w:bottom w:w="0" w:type="dxa"/>
          <w:right w:w="0" w:type="dxa"/>
        </w:tblCellMar>
        <w:tblInd w:w="-180" w:type="dxa"/>
      </w:tblPr>
      <w:tblGrid>
        <w:gridCol w:w="7575"/>
        <w:gridCol w:w="720"/>
        <w:gridCol w:w="7560"/>
      </w:tblGrid>
      <w:tr>
        <w:tc>
          <w:tcPr>
            <w:tcW w:w="757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65"/>
            </w:pPr>
            <w:r>
              <w:rPr>
                <w:rFonts w:ascii="Tahoma" w:hAnsi="Tahoma" w:cs="Tahoma" w:eastAsia="Tahoma"/>
                <w:b/>
                <w:u w:val="single"/>
                <w:sz w:val="16"/>
              </w:rPr>
              <w:t>Winter cereal crops - 2008 production season</w:t>
            </w:r>
          </w:p>
          <w:p>
            <w:pPr>
              <w:jc w:val="both"/>
              <w:ind w:left="255" w:right="255"/>
              <w:bidi w:val="0"/>
              <w:spacing w:after="165"/>
            </w:pPr>
            <w:r>
              <w:rPr>
                <w:rFonts w:ascii="Tahoma" w:hAnsi="Tahoma" w:cs="Tahoma" w:eastAsia="Tahoma"/>
                <w:b/>
                <w:u w:val="single"/>
                <w:sz w:val="16"/>
              </w:rPr>
              <w:t>Wheat:</w:t>
            </w:r>
            <w:r>
              <w:rPr>
                <w:rFonts w:ascii="Tahoma" w:hAnsi="Tahoma" w:cs="Tahoma" w:eastAsia="Tahoma"/>
                <w:sz w:val="16"/>
              </w:rPr>
              <w:t xml:space="preserve">  The production forecast of wheat is 2,090 mill. tons, which is 0,47% or 9 850 tons more than the 2,080 mill. tons of the previous forecast..  The expected yield is 2,79 t/ha.</w:t>
            </w:r>
          </w:p>
          <w:p>
            <w:pPr>
              <w:jc w:val="both"/>
              <w:ind w:left="255"/>
              <w:bidi w:val="0"/>
              <w:spacing w:before="135" w:after="165"/>
            </w:pPr>
            <w:r>
              <w:rPr>
                <w:rFonts w:ascii="Tahoma" w:hAnsi="Tahoma" w:cs="Tahoma" w:eastAsia="Tahoma"/>
                <w:sz w:val="16"/>
              </w:rPr>
              <w:t>As the crop has already been harvested, some of the provincial yields were adjusted to reflect the actual production realised. The actual producer deliveries, as published by SAGIS, were also taken into consideration.  According to the SAGIS figures, the cumulative producer deliveries of wheat for the period 1 October 2008 to 13 February  2009, is 1,989 million tons. This represents about 95  % of the South African commercial wheat crop of 2,090 million tons for the current 2008 production season.</w:t>
            </w:r>
          </w:p>
          <w:p>
            <w:pPr>
              <w:jc w:val="both"/>
              <w:ind w:left="255" w:right="255"/>
              <w:bidi w:val="0"/>
              <w:spacing w:after="165"/>
            </w:pPr>
            <w:r>
              <w:rPr>
                <w:rFonts w:ascii="Tahoma" w:hAnsi="Tahoma" w:cs="Tahoma" w:eastAsia="Tahoma"/>
                <w:sz w:val="16"/>
              </w:rPr>
              <w:t>The area planted to wheat remained unchanged at 748  000 ha.</w:t>
            </w:r>
          </w:p>
          <w:p>
            <w:pPr>
              <w:jc w:val="both"/>
              <w:ind w:left="255" w:right="255"/>
              <w:bidi w:val="0"/>
              <w:spacing w:after="165"/>
            </w:pPr>
            <w:r>
              <w:rPr>
                <w:rFonts w:ascii="Tahoma" w:hAnsi="Tahoma" w:cs="Tahoma" w:eastAsia="Tahoma"/>
                <w:b/>
                <w:u w:val="single"/>
                <w:sz w:val="16"/>
              </w:rPr>
              <w:t>Other crops:</w:t>
            </w:r>
            <w:r>
              <w:rPr>
                <w:rFonts w:ascii="Tahoma" w:hAnsi="Tahoma" w:cs="Tahoma" w:eastAsia="Tahoma"/>
                <w:sz w:val="16"/>
              </w:rPr>
              <w:t xml:space="preserve"> The production forecast for malting barley remained unchanged at 194  399 tons. The area planted to malting barley also remained unchanged at 68  245 ha, while the expected yield is 2,85  t/ha.</w:t>
            </w:r>
          </w:p>
          <w:p>
            <w:pPr>
              <w:jc w:val="both"/>
              <w:ind w:left="255" w:right="255"/>
              <w:bidi w:val="0"/>
              <w:spacing w:after="165"/>
            </w:pPr>
            <w:r>
              <w:rPr>
                <w:rFonts w:ascii="Tahoma" w:hAnsi="Tahoma" w:cs="Tahoma" w:eastAsia="Tahoma"/>
                <w:sz w:val="16"/>
              </w:rPr>
              <w:t>The expected canola crop also remained unchanged at 32  300 tons.  The area estimate is 34  000 ha, and the expected yield is 0,95 t/ha.</w:t>
            </w:r>
          </w:p>
          <w:p>
            <w:pPr>
              <w:ind w:left="255"/>
              <w:bidi w:val="0"/>
              <w:spacing w:after="165"/>
            </w:pPr>
            <w:r>
              <w:rPr>
                <w:rFonts w:ascii="Tahoma" w:hAnsi="Tahoma" w:cs="Tahoma" w:eastAsia="Tahoma"/>
                <w:sz w:val="16"/>
              </w:rPr>
              <w:t>Please note that the intentions to plant winter cereals for the 2009 production season will be released on 23 April 2009.</w:t>
            </w:r>
          </w:p>
        </w:tc>
        <w:tc>
          <w:tcPr>
            <w:tcW w:w="725" w:type="dxa"/>
            <w:tcBorders>
              <w:left w:val="single" w:sz="6" w:color="036B92"/>
              <w:top w:val="single" w:sz="6" w:color="036B92"/>
              <w:right w:val="single" w:sz="6" w:color="000000"/>
              <w:bottom w:val="single" w:sz="6" w:color="000000"/>
            </w:tcBorders>
            <w:shd w:val="clear" w:color="auto" w:fill="FFFFFF"/>
          </w:tcPr>
          <w:p>
            <w:pPr>
              <w:ind w:left="255"/>
              <w:bidi w:val="0"/>
              <w:spacing w:after="165"/>
            </w:pPr>
            <w:r>
              <w:rPr>
                <w:rFonts w:ascii="Tahoma" w:hAnsi="Tahoma" w:cs="Tahoma" w:eastAsia="Tahoma"/>
              </w:rPr>
              <w:t/>
            </w:r>
          </w:p>
          <w:p>
            <w:pPr>
              <w:jc w:val="both"/>
              <w:ind w:left="255" w:right="255"/>
              <w:bidi w:val="0"/>
              <w:spacing w:after="165"/>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65"/>
            </w:pPr>
            <w:r>
              <w:rPr>
                <w:rFonts w:ascii="Tahoma" w:hAnsi="Tahoma" w:cs="Tahoma" w:eastAsia="Tahoma"/>
                <w:b/>
                <w:u w:val="single"/>
                <w:sz w:val="16"/>
              </w:rPr>
              <w:t>Wintergewasse - 2008 produksie-seisoen</w:t>
            </w:r>
          </w:p>
          <w:p>
            <w:pPr>
              <w:jc w:val="both"/>
              <w:ind w:left="255" w:right="255"/>
              <w:bidi w:val="0"/>
              <w:spacing w:after="165"/>
            </w:pPr>
            <w:r>
              <w:rPr>
                <w:rFonts w:ascii="Tahoma" w:hAnsi="Tahoma" w:cs="Tahoma" w:eastAsia="Tahoma"/>
                <w:b/>
                <w:u w:val="single"/>
                <w:sz w:val="16"/>
              </w:rPr>
              <w:t>Koring:</w:t>
            </w:r>
            <w:r>
              <w:rPr>
                <w:rFonts w:ascii="Tahoma" w:hAnsi="Tahoma" w:cs="Tahoma" w:eastAsia="Tahoma"/>
                <w:sz w:val="16"/>
              </w:rPr>
              <w:t xml:space="preserve">  Die produksieskatting van koring is 2,090 milj. ton, wat 0,47% of 9  850 ton meer is as die 2,080 milj. ton van die vorige skatting.  Die verwagte opbrengs is 2,79 t/ha.</w:t>
            </w:r>
          </w:p>
          <w:p>
            <w:pPr>
              <w:jc w:val="both"/>
              <w:ind w:left="255" w:right="75"/>
              <w:bidi w:val="0"/>
              <w:spacing w:before="135" w:after="165"/>
            </w:pPr>
            <w:r>
              <w:rPr>
                <w:rFonts w:ascii="Tahoma" w:hAnsi="Tahoma" w:cs="Tahoma" w:eastAsia="Tahoma"/>
                <w:sz w:val="16"/>
              </w:rPr>
              <w:t xml:space="preserve">Aangesien die oes reeds gestroop is, is sommige van die provinsiale opbrengste aangepas om die werklike produksie te reflekteer. Werklike produsente-lewerings, soos gepubliseer deur SAGIS, is ook in ag geneem.  Volgens SAGIS is die kumulatiewe produsente-lewerings van koring vir die periode 1 Oktober 2008 tot 13 Februarie 2009 reeds 1,989 milj ton. Dit verteenwoordig ongeveer 95 % van die Suid-Afrikaanse kommersiële koring-oes van 2,090 milj ton vir die huidige 2008-produksieseisoen. </w:t>
            </w:r>
          </w:p>
          <w:p>
            <w:pPr>
              <w:jc w:val="both"/>
              <w:ind w:left="255" w:right="255"/>
              <w:bidi w:val="0"/>
              <w:spacing w:after="165"/>
            </w:pPr>
            <w:r>
              <w:rPr>
                <w:rFonts w:ascii="Tahoma" w:hAnsi="Tahoma" w:cs="Tahoma" w:eastAsia="Tahoma"/>
                <w:sz w:val="16"/>
              </w:rPr>
              <w:t xml:space="preserve">Die oppervlakte beplant met koring is onveranderd gelaat op 748  000 ha.  </w:t>
            </w:r>
          </w:p>
          <w:p>
            <w:pPr>
              <w:jc w:val="both"/>
              <w:ind w:left="255" w:right="255"/>
              <w:bidi w:val="0"/>
              <w:spacing w:after="165"/>
            </w:pPr>
            <w:r>
              <w:rPr>
                <w:rFonts w:ascii="Tahoma" w:hAnsi="Tahoma" w:cs="Tahoma" w:eastAsia="Tahoma"/>
                <w:b/>
                <w:u w:val="single"/>
                <w:sz w:val="16"/>
              </w:rPr>
              <w:t>Ander gewasse</w:t>
            </w:r>
            <w:r>
              <w:rPr>
                <w:rFonts w:ascii="Tahoma" w:hAnsi="Tahoma" w:cs="Tahoma" w:eastAsia="Tahoma"/>
                <w:sz w:val="16"/>
              </w:rPr>
              <w:t>: Die produksieskatting vir moutgars is onveranderd gelaat op 194  399 ton. Die oppervlakte beplant met moutgars is ook onveranderd gelaat op 68  245 ha, met ‘n verwagte opbrengs van 2,85 t/ha.</w:t>
            </w:r>
          </w:p>
          <w:p>
            <w:pPr>
              <w:jc w:val="both"/>
              <w:ind w:left="255" w:right="255"/>
              <w:bidi w:val="0"/>
              <w:spacing w:after="165"/>
            </w:pPr>
            <w:r>
              <w:rPr>
                <w:rFonts w:ascii="Tahoma" w:hAnsi="Tahoma" w:cs="Tahoma" w:eastAsia="Tahoma"/>
                <w:sz w:val="16"/>
              </w:rPr>
              <w:t>Die verwagte kanola-oes is ook onveranderd gelaat op 32  300 ton. Die oppervlakteskatting is 34  000 ha, en die verwagte opbrengs is 0,95 t/ha.</w:t>
            </w:r>
          </w:p>
          <w:p>
            <w:pPr>
              <w:jc w:val="both"/>
              <w:ind w:left="255" w:right="255"/>
              <w:bidi w:val="0"/>
              <w:spacing w:after="165"/>
              <w:tabs>
                <w:tab w:val="left" w:pos="6645"/>
              </w:tabs>
            </w:pPr>
            <w:r>
              <w:rPr>
                <w:rFonts w:ascii="Tahoma" w:hAnsi="Tahoma" w:cs="Tahoma" w:eastAsia="Tahoma"/>
                <w:sz w:val="16"/>
              </w:rPr>
              <w:t>Neem asseblief kennis dat die voorneme om  wintergewasse te plant vir die 2009 produksieseisoen op 23 April 2009 vrygestel sal word.</w:t>
            </w:r>
          </w:p>
        </w:tc>
      </w:tr>
      <w:tr>
        <w:tc>
          <w:tcPr>
            <w:tcW w:w="757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65"/>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72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rPr>
              <w:t/>
            </w:r>
          </w:p>
        </w:tc>
      </w:tr>
      <w:tr>
        <w:tc>
          <w:tcPr>
            <w:tcW w:w="757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sz w:val="16"/>
              </w:rPr>
              <w:t xml:space="preserve">Information is available on the internet at </w:t>
            </w:r>
            <w:hyperlink r:id="hrId5">
              <w:r>
                <w:rPr>
                  <w:rFonts w:ascii="Tahoma" w:hAnsi="Tahoma" w:cs="Tahoma" w:eastAsia="Tahoma"/>
                  <w:b/>
                  <w:sz w:val="16"/>
                </w:rPr>
                <w:t>http://www.nda.agric.za/food</w:t>
              </w:r>
            </w:hyperlink>
            <w:r>
              <w:rPr>
                <w:rFonts w:ascii="Tahoma" w:hAnsi="Tahoma" w:cs="Tahoma" w:eastAsia="Tahoma"/>
                <w:b/>
                <w:sz w:val="16"/>
              </w:rPr>
              <w:t xml:space="preserve"> security issues or </w:t>
            </w:r>
            <w:hyperlink r:id="hrId6">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725" w:type="dxa"/>
            <w:tcBorders>
              <w:left w:val="single" w:sz="6" w:color="036B92"/>
              <w:top w:val="single" w:sz="6" w:color="036B92"/>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sz w:val="16"/>
              </w:rPr>
              <w:t xml:space="preserve">Inligting is beskikbaar op die internet by </w:t>
            </w:r>
            <w:hyperlink r:id="hrId7">
              <w:r>
                <w:rPr>
                  <w:rFonts w:ascii="Tahoma" w:hAnsi="Tahoma" w:cs="Tahoma" w:eastAsia="Tahoma"/>
                  <w:b/>
                  <w:sz w:val="16"/>
                </w:rPr>
                <w:t>http://www.nda.agric.za/food</w:t>
              </w:r>
            </w:hyperlink>
            <w:r>
              <w:rPr>
                <w:rFonts w:ascii="Tahoma" w:hAnsi="Tahoma" w:cs="Tahoma" w:eastAsia="Tahoma"/>
                <w:b/>
                <w:sz w:val="16"/>
              </w:rPr>
              <w:t xml:space="preserve"> security issues of by </w:t>
            </w:r>
            <w:hyperlink r:id="hrId8">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42"/>
        <w:jc w:val="left"/>
        <w:bidi w:val="0"/>
        <w:spacing w:after="120"/>
      </w:pPr>
      <w:r>
        <w:t/>
      </w:r>
    </w:p>
    <w:p>
      <w:pPr>
        <w:pStyle w:val="42"/>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8"/>
    <w:next w:val="39"/>
    <w:pPr>
      <w:spacing w:before="0" w:after="0"/>
      <w:tabs>
        <w:tab w:val="left" w:pos="435"/>
        <w:tab w:val="clear" w:pos="0"/>
      </w:tabs>
    </w:pPr>
    <w:rPr>
      <w:rFonts w:ascii="Tahoma" w:hAnsi="Tahoma" w:cs="Tahoma" w:eastAsia="Tahoma"/>
      <w:b w:val="0"/>
      <w:sz w:val="24"/>
    </w:rPr>
  </w:style>
  <w:style w:type="paragraph" w:styleId="5">
    <w:name w:val="Numbered Heading 2"/>
    <w:basedOn w:val="29"/>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Numbered Heading 3"/>
    <w:basedOn w:val="32"/>
    <w:next w:val="39"/>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9"/>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9"/>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9"/>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9"/>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9"/>
    <w:next w:val="39"/>
    <w:pPr>
      <w:spacing w:before="435" w:after="60"/>
    </w:pPr>
    <w:rPr>
      <w:rFonts w:ascii="Arial" w:hAnsi="Arial" w:cs="Arial" w:eastAsia="Arial"/>
      <w:b/>
      <w:sz w:val="34"/>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Heading 3"/>
    <w:basedOn w:val="39"/>
    <w:next w:val="39"/>
    <w:pPr>
      <w:spacing w:before="435" w:after="60"/>
    </w:pPr>
    <w:rPr>
      <w:rFonts w:ascii="Arial" w:hAnsi="Arial" w:cs="Arial" w:eastAsia="Arial"/>
      <w:b/>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CEC"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 Id="hrId7" Type="http://schemas.openxmlformats.org/officeDocument/2006/relationships/hyperlink" Target="http://www.nda.agric.za/food" TargetMode="External"/><Relationship Id="hrId8" Type="http://schemas.openxmlformats.org/officeDocument/2006/relationships/hyperlink" Target="http://www.sagis.org.za" TargetMode="External"/></Relationships>
</file>