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34"/>
              <w:bidi w:val="0"/>
              <w:spacing w:before="240"/>
            </w:pPr>
            <w:r>
              <w:rPr>
                <w:sz w:val="40"/>
              </w:rPr>
              <w:t>O</w:t>
            </w:r>
            <w:r>
              <w:rPr>
                <w:sz w:val="36"/>
              </w:rPr>
              <w:t>ESSKATTINGSKOMITEE</w:t>
            </w:r>
          </w:p>
        </w:tc>
        <w:tc>
          <w:tcPr>
            <w:tcW w:w="3240" w:type="dxa"/>
            <w:shd w:val="clear" w:color="auto" w:fill="FFFFFF"/>
          </w:tcPr>
          <w:p>
            <w:pPr>
              <w:pStyle w:val="34"/>
              <w:bidi w:val="0"/>
              <w:spacing w:before="240"/>
            </w:pPr>
            <w:r>
              <w:rPr>
                <w:b w:val="0"/>
                <w:sz w:val="24"/>
              </w:rPr>
              <w:t/>
            </w:r>
          </w:p>
          <w:p>
            <w:pPr>
              <w:jc w:val="both"/>
              <w:bidi w:val="0"/>
              <w:spacing w:before="195" w:after="45"/>
            </w:pPr>
            <w:r>
              <w:rPr>
                <w:rFonts w:ascii="Tahoma" w:hAnsi="Tahoma" w:cs="Tahoma" w:eastAsia="Tahoma"/>
                <w:sz w:val="20"/>
              </w:rPr>
              <w:t>Privaatsak/</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34"/>
              <w:bidi w:val="0"/>
            </w:pPr>
            <w:r>
              <w:rPr>
                <w:sz w:val="40"/>
              </w:rPr>
              <w:t>C</w:t>
            </w:r>
            <w:r>
              <w:rPr>
                <w:sz w:val="36"/>
              </w:rPr>
              <w:t xml:space="preserve">ROP </w:t>
            </w:r>
            <w:r>
              <w:rPr>
                <w:sz w:val="40"/>
              </w:rPr>
              <w:t>E</w:t>
            </w:r>
            <w:r>
              <w:rPr>
                <w:sz w:val="36"/>
              </w:rPr>
              <w:t xml:space="preserve">STIMATES </w:t>
            </w:r>
            <w:r>
              <w:rPr>
                <w:sz w:val="40"/>
              </w:rPr>
              <w:t>C</w:t>
            </w:r>
            <w:r>
              <w:rPr>
                <w:sz w:val="36"/>
              </w:rPr>
              <w:t>OMMITTEE</w:t>
            </w:r>
          </w:p>
        </w:tc>
        <w:tc>
          <w:tcPr>
            <w:tcW w:w="3240" w:type="dxa"/>
            <w:shd w:val="clear" w:color="auto" w:fill="FFFFFF"/>
          </w:tcPr>
          <w:p>
            <w:pPr>
              <w:pStyle w:val="34"/>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6"/>
              </w:rPr>
              <w:t>Van/From:</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Faks/Fax:</w:t>
            </w:r>
            <w:r>
              <w:rPr>
                <w:rFonts w:ascii="Tahoma" w:hAnsi="Tahoma" w:cs="Tahoma" w:eastAsia="Tahoma"/>
                <w:sz w:val="16"/>
              </w:rPr>
              <w:t xml:space="preserve"> 012  319 6211 </w:t>
            </w:r>
            <w:r>
              <w:rPr>
                <w:rFonts w:ascii="Tahoma" w:hAnsi="Tahoma" w:cs="Tahoma" w:eastAsia="Tahoma"/>
                <w:b/>
                <w:sz w:val="16"/>
              </w:rPr>
              <w:t>E-pos/E-mail:</w:t>
            </w:r>
            <w:r>
              <w:rPr>
                <w:rFonts w:ascii="Tahoma" w:hAnsi="Tahoma" w:cs="Tahoma" w:eastAsia="Tahoma"/>
                <w:sz w:val="16"/>
              </w:rPr>
              <w:t xml:space="preserve"> CDESS@nda.agric.za</w:t>
            </w:r>
          </w:p>
          <w:p>
            <w:pPr>
              <w:jc w:val="center"/>
              <w:bidi w:val="0"/>
              <w:spacing w:after="75"/>
            </w:pPr>
            <w:r>
              <w:rPr>
                <w:rFonts w:ascii="Tahoma" w:hAnsi="Tahoma" w:cs="Tahoma" w:eastAsia="Tahoma"/>
                <w:sz w:val="16"/>
              </w:rPr>
              <w:t xml:space="preserve">Webblad/Web page: </w:t>
            </w:r>
            <w:hyperlink r:id="hrId1">
              <w:r>
                <w:rPr>
                  <w:rFonts w:ascii="Tahoma" w:hAnsi="Tahoma" w:cs="Tahoma" w:eastAsia="Tahoma"/>
                  <w:sz w:val="16"/>
                </w:rPr>
                <w:t>www.nda.agric.za/food</w:t>
              </w:r>
            </w:hyperlink>
            <w:r>
              <w:rPr>
                <w:rFonts w:ascii="Tahoma" w:hAnsi="Tahoma" w:cs="Tahoma" w:eastAsia="Tahoma"/>
                <w:sz w:val="16"/>
              </w:rPr>
              <w:t xml:space="preserve"> security statistics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0"/>
        </w:rPr>
        <w:t>27 Januarie/January 2009</w:t>
      </w:r>
    </w:p>
    <w:p>
      <w:pPr>
        <w:jc w:val="both"/>
        <w:bidi w:val="0"/>
      </w:pPr>
      <w:r>
        <w:t/>
      </w:r>
    </w:p>
    <w:p>
      <w:pPr>
        <w:bidi w:val="0"/>
      </w:pPr>
      <w:r>
        <w:rPr>
          <w:rFonts w:ascii="Tahoma" w:hAnsi="Tahoma" w:cs="Tahoma" w:eastAsia="Tahoma"/>
        </w:rPr>
        <w:t/>
      </w:r>
    </w:p>
    <w:p>
      <w:pPr>
        <w:bidi w:val="0"/>
      </w:pPr>
      <w:r>
        <w:t/>
      </w:r>
    </w:p>
    <w:p>
      <w:pPr>
        <w:pStyle w:val="42"/>
        <w:jc w:val="left"/>
        <w:ind w:right="-60"/>
        <w:bidi w:val="0"/>
        <w:spacing w:after="60"/>
      </w:pPr>
      <w:r>
        <w:rPr>
          <w:sz w:val="14"/>
        </w:rPr>
        <w:t>SOMERGEWASSE – VOORLOPIGE OPPERVLAKSKATTING: 2008/09-SEISOEN</w:t>
      </w:r>
    </w:p>
    <w:p>
      <w:pPr>
        <w:pStyle w:val="42"/>
        <w:jc w:val="left"/>
        <w:ind w:right="-60"/>
        <w:bidi w:val="0"/>
        <w:spacing w:after="120"/>
      </w:pPr>
      <w:r>
        <w:rPr>
          <w:sz w:val="14"/>
        </w:rPr>
        <w:t>SUMMER CROPS – PRELIMINARY AREA PLANTED ESTIMATE: 2008/09 SEASON</w:t>
      </w:r>
    </w:p>
    <w:p>
      <w:pPr>
        <w:bidi w:val="0"/>
      </w:pPr>
      <w:r>
        <w:rPr>
          <w:rFonts w:ascii="Tahoma" w:hAnsi="Tahoma" w:cs="Tahoma" w:eastAsia="Tahoma"/>
        </w:rPr>
        <w:t/>
      </w:r>
    </w:p>
    <w:tbl>
      <w:tblPr>
        <w:tblW w:w="7460" w:type="dxa"/>
        <w:tblLayout w:type="fixed"/>
        <w:tblCellMar>
          <w:top w:w="0" w:type="dxa"/>
          <w:left w:w="0" w:type="dxa"/>
          <w:bottom w:w="0" w:type="dxa"/>
          <w:right w:w="0" w:type="dxa"/>
        </w:tblCellMar>
        <w:tblInd w:w="-105" w:type="dxa"/>
      </w:tblPr>
      <w:tblGrid>
        <w:gridCol w:w="2415"/>
        <w:gridCol w:w="1290"/>
        <w:gridCol w:w="1290"/>
        <w:gridCol w:w="1125"/>
        <w:gridCol w:w="1335"/>
      </w:tblGrid>
      <w:tr>
        <w:tc>
          <w:tcPr>
            <w:tcW w:w="2420" w:type="dxa"/>
            <w:shd w:val="clear" w:color="auto" w:fill="FFFFFF"/>
          </w:tcPr>
          <w:p>
            <w:pPr>
              <w:pStyle w:val="42"/>
              <w:jc w:val="both"/>
              <w:ind w:right="-60"/>
              <w:bidi w:val="0"/>
              <w:spacing w:before="360"/>
            </w:pPr>
            <w:r>
              <w:rPr>
                <w:sz w:val="14"/>
              </w:rPr>
              <w:t>GEWAS/CROP</w:t>
            </w:r>
          </w:p>
        </w:tc>
        <w:tc>
          <w:tcPr>
            <w:tcW w:w="1290" w:type="dxa"/>
            <w:shd w:val="clear" w:color="auto" w:fill="FFFFFF"/>
          </w:tcPr>
          <w:p>
            <w:pPr>
              <w:pStyle w:val="42"/>
              <w:jc w:val="both"/>
              <w:ind w:right="-60"/>
              <w:bidi w:val="0"/>
              <w:spacing w:before="360"/>
            </w:pPr>
            <w:r>
              <w:rPr>
                <w:u w:val="none"/>
              </w:rPr>
              <w:t/>
            </w:r>
          </w:p>
          <w:p>
            <w:pPr>
              <w:pStyle w:val="42"/>
              <w:ind w:right="-60"/>
              <w:bidi w:val="0"/>
              <w:spacing w:before="60"/>
            </w:pPr>
            <w:r>
              <w:rPr>
                <w:b/>
                <w:sz w:val="14"/>
              </w:rPr>
              <w:t>Opp beplant/</w:t>
            </w:r>
          </w:p>
          <w:p>
            <w:pPr>
              <w:pStyle w:val="42"/>
              <w:ind w:right="-60"/>
              <w:bidi w:val="0"/>
            </w:pPr>
            <w:r>
              <w:rPr>
                <w:b/>
                <w:sz w:val="14"/>
              </w:rPr>
              <w:t>Area planted</w:t>
            </w:r>
          </w:p>
          <w:p>
            <w:pPr>
              <w:pStyle w:val="42"/>
              <w:ind w:right="-60"/>
              <w:bidi w:val="0"/>
            </w:pPr>
            <w:r>
              <w:rPr>
                <w:b/>
                <w:sz w:val="14"/>
              </w:rPr>
              <w:t>2008/09</w:t>
            </w:r>
          </w:p>
        </w:tc>
        <w:tc>
          <w:tcPr>
            <w:tcW w:w="1290" w:type="dxa"/>
            <w:shd w:val="clear" w:color="auto" w:fill="FFFFFF"/>
          </w:tcPr>
          <w:p>
            <w:pPr>
              <w:pStyle w:val="42"/>
              <w:ind w:right="-60"/>
              <w:bidi w:val="0"/>
            </w:pPr>
            <w:r>
              <w:rPr>
                <w:u w:val="none"/>
              </w:rPr>
              <w:t/>
            </w:r>
          </w:p>
          <w:p>
            <w:pPr>
              <w:pStyle w:val="42"/>
              <w:ind w:right="-60"/>
              <w:bidi w:val="0"/>
              <w:spacing w:before="60"/>
            </w:pPr>
            <w:r>
              <w:rPr>
                <w:sz w:val="14"/>
              </w:rPr>
              <w:t>Opp beplant/</w:t>
            </w:r>
          </w:p>
          <w:p>
            <w:pPr>
              <w:pStyle w:val="42"/>
              <w:ind w:right="-60"/>
              <w:bidi w:val="0"/>
            </w:pPr>
            <w:r>
              <w:rPr>
                <w:sz w:val="14"/>
              </w:rPr>
              <w:t>Area planted</w:t>
            </w:r>
          </w:p>
          <w:p>
            <w:pPr>
              <w:pStyle w:val="42"/>
              <w:ind w:right="-60"/>
              <w:bidi w:val="0"/>
            </w:pPr>
            <w:r>
              <w:rPr>
                <w:sz w:val="14"/>
              </w:rPr>
              <w:t>2007/08</w:t>
            </w:r>
          </w:p>
        </w:tc>
        <w:tc>
          <w:tcPr>
            <w:tcW w:w="1130" w:type="dxa"/>
            <w:shd w:val="clear" w:color="auto" w:fill="FFFFFF"/>
          </w:tcPr>
          <w:p>
            <w:pPr>
              <w:pStyle w:val="42"/>
              <w:ind w:right="-60"/>
              <w:bidi w:val="0"/>
            </w:pPr>
            <w:r>
              <w:rPr>
                <w:u w:val="none"/>
              </w:rPr>
              <w:t/>
            </w:r>
          </w:p>
          <w:p>
            <w:pPr>
              <w:pStyle w:val="42"/>
              <w:ind w:right="-60"/>
              <w:bidi w:val="0"/>
              <w:spacing w:before="60"/>
            </w:pPr>
            <w:r>
              <w:rPr>
                <w:sz w:val="14"/>
              </w:rPr>
              <w:t>Finale oes/</w:t>
            </w:r>
          </w:p>
          <w:p>
            <w:pPr>
              <w:pStyle w:val="42"/>
              <w:ind w:right="-60"/>
              <w:bidi w:val="0"/>
            </w:pPr>
            <w:r>
              <w:rPr>
                <w:sz w:val="14"/>
              </w:rPr>
              <w:t>Final crop</w:t>
            </w:r>
          </w:p>
          <w:p>
            <w:pPr>
              <w:pStyle w:val="42"/>
              <w:ind w:right="-60"/>
              <w:bidi w:val="0"/>
            </w:pPr>
            <w:r>
              <w:rPr>
                <w:sz w:val="14"/>
              </w:rPr>
              <w:t>2007/08</w:t>
            </w:r>
          </w:p>
        </w:tc>
        <w:tc>
          <w:tcPr>
            <w:tcW w:w="1330" w:type="dxa"/>
            <w:shd w:val="clear" w:color="auto" w:fill="FFFFFF"/>
          </w:tcPr>
          <w:p>
            <w:pPr>
              <w:pStyle w:val="42"/>
              <w:ind w:right="-60"/>
              <w:bidi w:val="0"/>
            </w:pPr>
            <w:r>
              <w:rPr>
                <w:u w:val="none"/>
              </w:rPr>
              <w:t/>
            </w:r>
          </w:p>
          <w:p>
            <w:pPr>
              <w:pStyle w:val="42"/>
              <w:ind w:right="-60"/>
              <w:bidi w:val="0"/>
              <w:spacing w:before="60"/>
            </w:pPr>
            <w:r>
              <w:rPr>
                <w:sz w:val="14"/>
              </w:rPr>
              <w:t>Verandering/</w:t>
            </w:r>
          </w:p>
          <w:p>
            <w:pPr>
              <w:pStyle w:val="42"/>
              <w:ind w:right="-60"/>
              <w:bidi w:val="0"/>
            </w:pPr>
            <w:r>
              <w:rPr>
                <w:sz w:val="14"/>
              </w:rPr>
              <w:t>Change</w:t>
            </w:r>
          </w:p>
        </w:tc>
      </w:tr>
      <w:tr>
        <w:tc>
          <w:tcPr>
            <w:tcW w:w="2420" w:type="dxa"/>
            <w:shd w:val="clear" w:color="auto" w:fill="FFFFFF"/>
          </w:tcPr>
          <w:p>
            <w:pPr>
              <w:pStyle w:val="42"/>
              <w:ind w:right="-60"/>
              <w:bidi w:val="0"/>
            </w:pPr>
            <w:r>
              <w:rPr>
                <w:u w:val="none"/>
              </w:rPr>
              <w:t/>
            </w:r>
          </w:p>
          <w:p>
            <w:pPr>
              <w:pStyle w:val="42"/>
              <w:jc w:val="both"/>
              <w:ind w:right="-60"/>
              <w:bidi w:val="0"/>
              <w:spacing w:before="15" w:after="15"/>
            </w:pPr>
            <w:r>
              <w:rPr>
                <w:u w:val="none"/>
              </w:rPr>
              <w:t/>
            </w:r>
          </w:p>
        </w:tc>
        <w:tc>
          <w:tcPr>
            <w:tcW w:w="1290" w:type="dxa"/>
            <w:shd w:val="clear" w:color="auto" w:fill="FFFFFF"/>
          </w:tcPr>
          <w:p>
            <w:pPr>
              <w:pStyle w:val="42"/>
              <w:ind w:right="-60"/>
              <w:bidi w:val="0"/>
              <w:spacing w:before="15" w:after="15"/>
            </w:pPr>
            <w:r>
              <w:rPr>
                <w:b/>
                <w:sz w:val="14"/>
              </w:rPr>
              <w:t>Ha</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Ha</w:t>
            </w:r>
          </w:p>
        </w:tc>
        <w:tc>
          <w:tcPr>
            <w:tcW w:w="11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3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w:t>
            </w:r>
          </w:p>
        </w:tc>
      </w:tr>
      <w:tr>
        <w:tc>
          <w:tcPr>
            <w:tcW w:w="2420" w:type="dxa"/>
            <w:shd w:val="clear" w:color="auto" w:fill="FFFFFF"/>
          </w:tcPr>
          <w:p>
            <w:pPr>
              <w:pStyle w:val="42"/>
              <w:ind w:right="-60"/>
              <w:bidi w:val="0"/>
              <w:spacing w:before="15" w:after="15"/>
            </w:pPr>
            <w:r>
              <w:rPr>
                <w:u w:val="none"/>
              </w:rPr>
              <w:t/>
            </w:r>
          </w:p>
          <w:p>
            <w:pPr>
              <w:pStyle w:val="42"/>
              <w:jc w:val="both"/>
              <w:ind w:right="-60"/>
              <w:bidi w:val="0"/>
              <w:spacing w:before="15" w:after="15"/>
            </w:pPr>
            <w:r>
              <w:rPr>
                <w:u w:val="none"/>
              </w:rPr>
              <w:t/>
            </w:r>
          </w:p>
        </w:tc>
        <w:tc>
          <w:tcPr>
            <w:tcW w:w="1290" w:type="dxa"/>
            <w:shd w:val="clear" w:color="auto" w:fill="FFFFFF"/>
          </w:tcPr>
          <w:p>
            <w:pPr>
              <w:pStyle w:val="42"/>
              <w:ind w:right="-60"/>
              <w:bidi w:val="0"/>
              <w:spacing w:before="15" w:after="15"/>
            </w:pPr>
            <w:r>
              <w:rPr>
                <w:b/>
                <w:sz w:val="14"/>
              </w:rPr>
              <w:t>(A)</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(B)</w:t>
            </w:r>
          </w:p>
        </w:tc>
        <w:tc>
          <w:tcPr>
            <w:tcW w:w="11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(C)</w:t>
            </w:r>
          </w:p>
        </w:tc>
        <w:tc>
          <w:tcPr>
            <w:tcW w:w="13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(A) ÷ (B)</w:t>
            </w:r>
          </w:p>
        </w:tc>
      </w:tr>
      <w:tr>
        <w:tc>
          <w:tcPr>
            <w:tcW w:w="7460" w:type="dxa"/>
            <w:gridSpan w:val="5"/>
            <w:shd w:val="clear" w:color="auto" w:fill="FFFFFF"/>
          </w:tcPr>
          <w:p>
            <w:pPr>
              <w:pStyle w:val="42"/>
              <w:ind w:right="-60"/>
              <w:bidi w:val="0"/>
              <w:spacing w:before="15" w:after="15"/>
            </w:pPr>
            <w:r>
              <w:rPr>
                <w:u w:val="none"/>
              </w:rPr>
              <w:t/>
            </w:r>
          </w:p>
          <w:p>
            <w:pPr>
              <w:ind w:right="105"/>
              <w:bidi w:val="0"/>
            </w:pPr>
            <w:r>
              <w:rPr>
                <w:rFonts w:ascii="Tahoma" w:hAnsi="Tahoma" w:cs="Tahoma" w:eastAsia="Tahoma"/>
                <w:sz w:val="14"/>
              </w:rPr>
              <w:t>Kommersieel / Commercial:</w:t>
            </w:r>
          </w:p>
        </w:tc>
      </w:tr>
      <w:tr>
        <w:tc>
          <w:tcPr>
            <w:tcW w:w="2420" w:type="dxa"/>
            <w:shd w:val="clear" w:color="auto" w:fill="FFFFFF"/>
          </w:tcPr>
          <w:p>
            <w:pPr>
              <w:ind w:right="105"/>
              <w:bidi w:val="0"/>
            </w:pPr>
            <w:r>
              <w:rPr>
                <w:rFonts w:ascii="Tahoma" w:hAnsi="Tahoma" w:cs="Tahoma" w:eastAsia="Tahoma"/>
              </w:rPr>
              <w:t/>
            </w:r>
          </w:p>
          <w:p>
            <w:pPr>
              <w:pStyle w:val="42"/>
              <w:jc w:val="both"/>
              <w:ind w:right="-105" w:firstLine="180"/>
              <w:bidi w:val="0"/>
            </w:pPr>
            <w:r>
              <w:rPr>
                <w:sz w:val="14"/>
              </w:rPr>
              <w:t>Witmielies/White maize</w:t>
            </w:r>
          </w:p>
        </w:tc>
        <w:tc>
          <w:tcPr>
            <w:tcW w:w="1290" w:type="dxa"/>
            <w:shd w:val="clear" w:color="auto" w:fill="FFFFFF"/>
          </w:tcPr>
          <w:p>
            <w:pPr>
              <w:pStyle w:val="42"/>
              <w:jc w:val="both"/>
              <w:ind w:right="-105" w:firstLine="180"/>
              <w:bidi w:val="0"/>
            </w:pPr>
            <w:r>
              <w:rPr>
                <w:u w:val="none"/>
              </w:rPr>
              <w:t/>
            </w:r>
          </w:p>
          <w:p>
            <w:pPr>
              <w:pStyle w:val="42"/>
              <w:jc w:val="right"/>
              <w:ind w:right="165"/>
              <w:bidi w:val="0"/>
            </w:pPr>
            <w:r>
              <w:rPr>
                <w:b/>
                <w:sz w:val="14"/>
              </w:rPr>
              <w:t>1  598  500</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1 737 000</w:t>
            </w:r>
          </w:p>
        </w:tc>
        <w:tc>
          <w:tcPr>
            <w:tcW w:w="1130" w:type="dxa"/>
            <w:shd w:val="clear" w:color="auto" w:fill="FFFFFF"/>
          </w:tcPr>
          <w:p>
            <w:pPr>
              <w:pStyle w:val="42"/>
              <w:jc w:val="right"/>
              <w:ind w:right="165"/>
              <w:bidi w:val="0"/>
            </w:pPr>
            <w:r>
              <w:rPr>
                <w:u w:val="none"/>
              </w:rPr>
              <w:t/>
            </w:r>
          </w:p>
          <w:p>
            <w:pPr>
              <w:pStyle w:val="42"/>
              <w:jc w:val="right"/>
              <w:ind w:right="165"/>
              <w:bidi w:val="0"/>
            </w:pPr>
            <w:r>
              <w:rPr>
                <w:sz w:val="14"/>
              </w:rPr>
              <w:t>7 480 000</w:t>
            </w:r>
          </w:p>
        </w:tc>
        <w:tc>
          <w:tcPr>
            <w:tcW w:w="1330" w:type="dxa"/>
            <w:shd w:val="clear" w:color="auto" w:fill="FFFFFF"/>
          </w:tcPr>
          <w:p>
            <w:pPr>
              <w:pStyle w:val="42"/>
              <w:jc w:val="right"/>
              <w:ind w:right="165"/>
              <w:bidi w:val="0"/>
            </w:pPr>
            <w:r>
              <w:rPr>
                <w:u w:val="none"/>
              </w:rPr>
              <w:t/>
            </w:r>
          </w:p>
          <w:p>
            <w:pPr>
              <w:jc w:val="right"/>
              <w:ind w:right="105"/>
              <w:bidi w:val="0"/>
            </w:pPr>
            <w:r>
              <w:rPr>
                <w:rFonts w:ascii="Tahoma" w:hAnsi="Tahoma" w:cs="Tahoma" w:eastAsia="Tahoma"/>
                <w:sz w:val="14"/>
              </w:rPr>
              <w:t>-8,0</w:t>
            </w:r>
          </w:p>
        </w:tc>
      </w:tr>
      <w:tr>
        <w:tc>
          <w:tcPr>
            <w:tcW w:w="2420" w:type="dxa"/>
            <w:shd w:val="clear" w:color="auto" w:fill="FFFFFF"/>
          </w:tcPr>
          <w:p>
            <w:pPr>
              <w:jc w:val="right"/>
              <w:ind w:right="105"/>
              <w:bidi w:val="0"/>
            </w:pPr>
            <w:r>
              <w:rPr>
                <w:rFonts w:ascii="Tahoma" w:hAnsi="Tahoma" w:cs="Tahoma" w:eastAsia="Tahoma"/>
              </w:rPr>
              <w:t/>
            </w:r>
          </w:p>
          <w:p>
            <w:pPr>
              <w:pStyle w:val="42"/>
              <w:jc w:val="both"/>
              <w:ind w:right="-105" w:firstLine="180"/>
              <w:bidi w:val="0"/>
            </w:pPr>
            <w:r>
              <w:rPr>
                <w:sz w:val="14"/>
              </w:rPr>
              <w:t>Geelmielies/Yellow maize</w:t>
            </w:r>
          </w:p>
        </w:tc>
        <w:tc>
          <w:tcPr>
            <w:tcW w:w="1290" w:type="dxa"/>
            <w:shd w:val="clear" w:color="auto" w:fill="FFFFFF"/>
          </w:tcPr>
          <w:p>
            <w:pPr>
              <w:pStyle w:val="42"/>
              <w:jc w:val="both"/>
              <w:ind w:right="-105" w:firstLine="180"/>
              <w:bidi w:val="0"/>
            </w:pPr>
            <w:r>
              <w:rPr>
                <w:u w:val="none"/>
              </w:rPr>
              <w:t/>
            </w:r>
          </w:p>
          <w:p>
            <w:pPr>
              <w:pStyle w:val="42"/>
              <w:jc w:val="right"/>
              <w:ind w:right="165"/>
              <w:bidi w:val="0"/>
            </w:pPr>
            <w:r>
              <w:rPr>
                <w:b/>
                <w:sz w:val="14"/>
              </w:rPr>
              <w:t>997  500</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1 062 000</w:t>
            </w:r>
          </w:p>
        </w:tc>
        <w:tc>
          <w:tcPr>
            <w:tcW w:w="1130" w:type="dxa"/>
            <w:shd w:val="clear" w:color="auto" w:fill="FFFFFF"/>
          </w:tcPr>
          <w:p>
            <w:pPr>
              <w:pStyle w:val="42"/>
              <w:jc w:val="right"/>
              <w:ind w:right="165"/>
              <w:bidi w:val="0"/>
            </w:pPr>
            <w:r>
              <w:rPr>
                <w:u w:val="none"/>
              </w:rPr>
              <w:t/>
            </w:r>
          </w:p>
          <w:p>
            <w:pPr>
              <w:pStyle w:val="42"/>
              <w:jc w:val="right"/>
              <w:ind w:right="165"/>
              <w:bidi w:val="0"/>
            </w:pPr>
            <w:r>
              <w:rPr>
                <w:sz w:val="14"/>
              </w:rPr>
              <w:t>5 220 000</w:t>
            </w:r>
          </w:p>
        </w:tc>
        <w:tc>
          <w:tcPr>
            <w:tcW w:w="1330" w:type="dxa"/>
            <w:shd w:val="clear" w:color="auto" w:fill="FFFFFF"/>
          </w:tcPr>
          <w:p>
            <w:pPr>
              <w:pStyle w:val="42"/>
              <w:jc w:val="right"/>
              <w:ind w:right="165"/>
              <w:bidi w:val="0"/>
            </w:pPr>
            <w:r>
              <w:rPr>
                <w:u w:val="none"/>
              </w:rPr>
              <w:t/>
            </w:r>
          </w:p>
          <w:p>
            <w:pPr>
              <w:jc w:val="right"/>
              <w:ind w:right="105"/>
              <w:bidi w:val="0"/>
            </w:pPr>
            <w:r>
              <w:rPr>
                <w:rFonts w:ascii="Tahoma" w:hAnsi="Tahoma" w:cs="Tahoma" w:eastAsia="Tahoma"/>
                <w:sz w:val="14"/>
              </w:rPr>
              <w:t>-6,1</w:t>
            </w:r>
          </w:p>
        </w:tc>
      </w:tr>
      <w:tr>
        <w:tc>
          <w:tcPr>
            <w:tcW w:w="2420" w:type="dxa"/>
            <w:shd w:val="clear" w:color="auto" w:fill="FFFFFF"/>
          </w:tcPr>
          <w:p>
            <w:pPr>
              <w:jc w:val="right"/>
              <w:ind w:right="105"/>
              <w:bidi w:val="0"/>
            </w:pPr>
            <w:r>
              <w:rPr>
                <w:rFonts w:ascii="Tahoma" w:hAnsi="Tahoma" w:cs="Tahoma" w:eastAsia="Tahoma"/>
              </w:rPr>
              <w:t/>
            </w:r>
          </w:p>
          <w:p>
            <w:pPr>
              <w:pStyle w:val="42"/>
              <w:jc w:val="left"/>
              <w:ind w:right="75"/>
              <w:bidi w:val="0"/>
            </w:pPr>
            <w:r>
              <w:rPr>
                <w:sz w:val="14"/>
              </w:rPr>
              <w:t>Mielies/Maize</w:t>
            </w:r>
          </w:p>
        </w:tc>
        <w:tc>
          <w:tcPr>
            <w:tcW w:w="1290" w:type="dxa"/>
            <w:shd w:val="clear" w:color="auto" w:fill="FFFFFF"/>
          </w:tcPr>
          <w:p>
            <w:pPr>
              <w:pStyle w:val="42"/>
              <w:jc w:val="left"/>
              <w:ind w:right="75"/>
              <w:bidi w:val="0"/>
            </w:pPr>
            <w:r>
              <w:rPr>
                <w:u w:val="none"/>
              </w:rPr>
              <w:t/>
            </w:r>
          </w:p>
          <w:p>
            <w:pPr>
              <w:pStyle w:val="42"/>
              <w:jc w:val="right"/>
              <w:ind w:right="165"/>
              <w:bidi w:val="0"/>
            </w:pPr>
            <w:r>
              <w:rPr>
                <w:b/>
                <w:sz w:val="14"/>
              </w:rPr>
              <w:t>2  596  000</w:t>
            </w:r>
          </w:p>
        </w:tc>
        <w:tc>
          <w:tcPr>
            <w:tcW w:w="1290" w:type="dxa"/>
            <w:shd w:val="clear" w:color="auto" w:fill="FFFFFF"/>
          </w:tcPr>
          <w:p>
            <w:pPr>
              <w:pStyle w:val="42"/>
              <w:jc w:val="right"/>
              <w:ind w:right="165"/>
              <w:bidi w:val="0"/>
            </w:pPr>
            <w:r>
              <w:rPr>
                <w:u w:val="none"/>
              </w:rPr>
              <w:t/>
            </w:r>
          </w:p>
          <w:p>
            <w:pPr>
              <w:jc w:val="right"/>
              <w:ind w:right="135"/>
              <w:bidi w:val="0"/>
            </w:pPr>
            <w:r>
              <w:rPr>
                <w:rFonts w:ascii="Tahoma" w:hAnsi="Tahoma" w:cs="Tahoma" w:eastAsia="Tahoma"/>
                <w:sz w:val="14"/>
              </w:rPr>
              <w:t>2 799 000</w:t>
            </w:r>
          </w:p>
        </w:tc>
        <w:tc>
          <w:tcPr>
            <w:tcW w:w="1130" w:type="dxa"/>
            <w:shd w:val="clear" w:color="auto" w:fill="FFFFFF"/>
          </w:tcPr>
          <w:p>
            <w:pPr>
              <w:jc w:val="right"/>
              <w:ind w:right="135"/>
              <w:bidi w:val="0"/>
            </w:pPr>
            <w:r>
              <w:rPr>
                <w:rFonts w:ascii="Tahoma" w:hAnsi="Tahoma" w:cs="Tahoma" w:eastAsia="Tahoma"/>
              </w:rPr>
              <w:t/>
            </w:r>
          </w:p>
          <w:p>
            <w:pPr>
              <w:jc w:val="right"/>
              <w:ind w:right="135"/>
              <w:bidi w:val="0"/>
            </w:pPr>
            <w:r>
              <w:rPr>
                <w:rFonts w:ascii="Tahoma" w:hAnsi="Tahoma" w:cs="Tahoma" w:eastAsia="Tahoma"/>
                <w:sz w:val="14"/>
              </w:rPr>
              <w:t>12 700 000</w:t>
            </w:r>
          </w:p>
        </w:tc>
        <w:tc>
          <w:tcPr>
            <w:tcW w:w="1330" w:type="dxa"/>
            <w:shd w:val="clear" w:color="auto" w:fill="FFFFFF"/>
          </w:tcPr>
          <w:p>
            <w:pPr>
              <w:jc w:val="right"/>
              <w:ind w:right="135"/>
              <w:bidi w:val="0"/>
            </w:pPr>
            <w:r>
              <w:rPr>
                <w:rFonts w:ascii="Tahoma" w:hAnsi="Tahoma" w:cs="Tahoma" w:eastAsia="Tahoma"/>
              </w:rPr>
              <w:t/>
            </w:r>
          </w:p>
          <w:p>
            <w:pPr>
              <w:jc w:val="right"/>
              <w:ind w:right="105"/>
              <w:bidi w:val="0"/>
            </w:pPr>
            <w:r>
              <w:rPr>
                <w:rFonts w:ascii="Tahoma" w:hAnsi="Tahoma" w:cs="Tahoma" w:eastAsia="Tahoma"/>
                <w:sz w:val="14"/>
              </w:rPr>
              <w:t>-7,3</w:t>
            </w:r>
          </w:p>
        </w:tc>
      </w:tr>
      <w:tr>
        <w:tc>
          <w:tcPr>
            <w:tcW w:w="2420" w:type="dxa"/>
            <w:shd w:val="clear" w:color="auto" w:fill="FFFFFF"/>
          </w:tcPr>
          <w:p>
            <w:pPr>
              <w:jc w:val="right"/>
              <w:ind w:right="105"/>
              <w:bidi w:val="0"/>
            </w:pPr>
            <w:r>
              <w:rPr>
                <w:rFonts w:ascii="Tahoma" w:hAnsi="Tahoma" w:cs="Tahoma" w:eastAsia="Tahoma"/>
              </w:rPr>
              <w:t/>
            </w:r>
          </w:p>
          <w:p>
            <w:pPr>
              <w:pStyle w:val="42"/>
              <w:jc w:val="both"/>
              <w:ind w:right="-60"/>
              <w:bidi w:val="0"/>
            </w:pPr>
            <w:r>
              <w:rPr>
                <w:sz w:val="14"/>
              </w:rPr>
              <w:t>Sonneblomsaad/Sunflower seed</w:t>
            </w:r>
          </w:p>
        </w:tc>
        <w:tc>
          <w:tcPr>
            <w:tcW w:w="1290" w:type="dxa"/>
            <w:shd w:val="clear" w:color="auto" w:fill="FFFFFF"/>
          </w:tcPr>
          <w:p>
            <w:pPr>
              <w:pStyle w:val="42"/>
              <w:jc w:val="both"/>
              <w:ind w:right="-60"/>
              <w:bidi w:val="0"/>
            </w:pPr>
            <w:r>
              <w:rPr>
                <w:u w:val="none"/>
              </w:rPr>
              <w:t/>
            </w:r>
          </w:p>
          <w:p>
            <w:pPr>
              <w:pStyle w:val="42"/>
              <w:jc w:val="right"/>
              <w:ind w:right="165"/>
              <w:bidi w:val="0"/>
            </w:pPr>
            <w:r>
              <w:rPr>
                <w:b/>
                <w:sz w:val="14"/>
              </w:rPr>
              <w:t>600  000</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564  300</w:t>
            </w:r>
          </w:p>
        </w:tc>
        <w:tc>
          <w:tcPr>
            <w:tcW w:w="1130" w:type="dxa"/>
            <w:shd w:val="clear" w:color="auto" w:fill="FFFFFF"/>
          </w:tcPr>
          <w:p>
            <w:pPr>
              <w:pStyle w:val="42"/>
              <w:jc w:val="right"/>
              <w:ind w:right="165"/>
              <w:bidi w:val="0"/>
            </w:pPr>
            <w:r>
              <w:rPr>
                <w:u w:val="none"/>
              </w:rPr>
              <w:t/>
            </w:r>
          </w:p>
          <w:p>
            <w:pPr>
              <w:pStyle w:val="42"/>
              <w:jc w:val="right"/>
              <w:ind w:right="165"/>
              <w:bidi w:val="0"/>
            </w:pPr>
            <w:r>
              <w:rPr>
                <w:sz w:val="14"/>
              </w:rPr>
              <w:t>872 000</w:t>
            </w:r>
          </w:p>
        </w:tc>
        <w:tc>
          <w:tcPr>
            <w:tcW w:w="1330" w:type="dxa"/>
            <w:shd w:val="clear" w:color="auto" w:fill="FFFFFF"/>
          </w:tcPr>
          <w:p>
            <w:pPr>
              <w:pStyle w:val="42"/>
              <w:jc w:val="right"/>
              <w:ind w:right="165"/>
              <w:bidi w:val="0"/>
            </w:pPr>
            <w:r>
              <w:rPr>
                <w:u w:val="none"/>
              </w:rPr>
              <w:t/>
            </w:r>
          </w:p>
          <w:p>
            <w:pPr>
              <w:jc w:val="right"/>
              <w:ind w:right="105"/>
              <w:bidi w:val="0"/>
            </w:pPr>
            <w:r>
              <w:rPr>
                <w:rFonts w:ascii="Tahoma" w:hAnsi="Tahoma" w:cs="Tahoma" w:eastAsia="Tahoma"/>
                <w:sz w:val="14"/>
              </w:rPr>
              <w:t>+6,3</w:t>
            </w:r>
          </w:p>
        </w:tc>
      </w:tr>
      <w:tr>
        <w:tc>
          <w:tcPr>
            <w:tcW w:w="2420" w:type="dxa"/>
            <w:shd w:val="clear" w:color="auto" w:fill="FFFFFF"/>
          </w:tcPr>
          <w:p>
            <w:pPr>
              <w:jc w:val="right"/>
              <w:ind w:right="105"/>
              <w:bidi w:val="0"/>
            </w:pPr>
            <w:r>
              <w:rPr>
                <w:rFonts w:ascii="Tahoma" w:hAnsi="Tahoma" w:cs="Tahoma" w:eastAsia="Tahoma"/>
              </w:rPr>
              <w:t/>
            </w:r>
          </w:p>
          <w:p>
            <w:pPr>
              <w:pStyle w:val="42"/>
              <w:jc w:val="both"/>
              <w:ind w:right="-60"/>
              <w:bidi w:val="0"/>
            </w:pPr>
            <w:r>
              <w:rPr>
                <w:sz w:val="14"/>
              </w:rPr>
              <w:t>Sojabone/Soya-beans</w:t>
            </w:r>
          </w:p>
        </w:tc>
        <w:tc>
          <w:tcPr>
            <w:tcW w:w="1290" w:type="dxa"/>
            <w:shd w:val="clear" w:color="auto" w:fill="FFFFFF"/>
          </w:tcPr>
          <w:p>
            <w:pPr>
              <w:pStyle w:val="42"/>
              <w:jc w:val="both"/>
              <w:ind w:right="-60"/>
              <w:bidi w:val="0"/>
            </w:pPr>
            <w:r>
              <w:rPr>
                <w:u w:val="none"/>
              </w:rPr>
              <w:t/>
            </w:r>
          </w:p>
          <w:p>
            <w:pPr>
              <w:pStyle w:val="42"/>
              <w:jc w:val="right"/>
              <w:ind w:right="165"/>
              <w:bidi w:val="0"/>
            </w:pPr>
            <w:r>
              <w:rPr>
                <w:b/>
                <w:sz w:val="14"/>
              </w:rPr>
              <w:t>198  000</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165  400</w:t>
            </w:r>
          </w:p>
        </w:tc>
        <w:tc>
          <w:tcPr>
            <w:tcW w:w="1130" w:type="dxa"/>
            <w:shd w:val="clear" w:color="auto" w:fill="FFFFFF"/>
          </w:tcPr>
          <w:p>
            <w:pPr>
              <w:pStyle w:val="42"/>
              <w:jc w:val="right"/>
              <w:ind w:right="165"/>
              <w:bidi w:val="0"/>
            </w:pPr>
            <w:r>
              <w:rPr>
                <w:u w:val="none"/>
              </w:rPr>
              <w:t/>
            </w:r>
          </w:p>
          <w:p>
            <w:pPr>
              <w:pStyle w:val="42"/>
              <w:jc w:val="right"/>
              <w:ind w:right="165"/>
              <w:bidi w:val="0"/>
            </w:pPr>
            <w:r>
              <w:rPr>
                <w:sz w:val="14"/>
              </w:rPr>
              <w:t>282 000</w:t>
            </w:r>
          </w:p>
        </w:tc>
        <w:tc>
          <w:tcPr>
            <w:tcW w:w="1330" w:type="dxa"/>
            <w:shd w:val="clear" w:color="auto" w:fill="FFFFFF"/>
          </w:tcPr>
          <w:p>
            <w:pPr>
              <w:pStyle w:val="42"/>
              <w:jc w:val="right"/>
              <w:ind w:right="165"/>
              <w:bidi w:val="0"/>
            </w:pPr>
            <w:r>
              <w:rPr>
                <w:u w:val="none"/>
              </w:rPr>
              <w:t/>
            </w:r>
          </w:p>
          <w:p>
            <w:pPr>
              <w:jc w:val="right"/>
              <w:ind w:right="105"/>
              <w:bidi w:val="0"/>
            </w:pPr>
            <w:r>
              <w:rPr>
                <w:rFonts w:ascii="Tahoma" w:hAnsi="Tahoma" w:cs="Tahoma" w:eastAsia="Tahoma"/>
                <w:sz w:val="14"/>
              </w:rPr>
              <w:t>+19,7</w:t>
            </w:r>
          </w:p>
        </w:tc>
      </w:tr>
      <w:tr>
        <w:tc>
          <w:tcPr>
            <w:tcW w:w="2420" w:type="dxa"/>
            <w:shd w:val="clear" w:color="auto" w:fill="FFFFFF"/>
          </w:tcPr>
          <w:p>
            <w:pPr>
              <w:jc w:val="right"/>
              <w:ind w:right="105"/>
              <w:bidi w:val="0"/>
            </w:pPr>
            <w:r>
              <w:rPr>
                <w:rFonts w:ascii="Tahoma" w:hAnsi="Tahoma" w:cs="Tahoma" w:eastAsia="Tahoma"/>
              </w:rPr>
              <w:t/>
            </w:r>
          </w:p>
          <w:p>
            <w:pPr>
              <w:pStyle w:val="42"/>
              <w:jc w:val="both"/>
              <w:ind w:right="-60"/>
              <w:bidi w:val="0"/>
            </w:pPr>
            <w:r>
              <w:rPr>
                <w:sz w:val="14"/>
              </w:rPr>
              <w:t>Grondbone/Groundnuts</w:t>
            </w:r>
          </w:p>
        </w:tc>
        <w:tc>
          <w:tcPr>
            <w:tcW w:w="1290" w:type="dxa"/>
            <w:shd w:val="clear" w:color="auto" w:fill="FFFFFF"/>
          </w:tcPr>
          <w:p>
            <w:pPr>
              <w:pStyle w:val="42"/>
              <w:jc w:val="both"/>
              <w:ind w:right="-60"/>
              <w:bidi w:val="0"/>
            </w:pPr>
            <w:r>
              <w:rPr>
                <w:u w:val="none"/>
              </w:rPr>
              <w:t/>
            </w:r>
          </w:p>
          <w:p>
            <w:pPr>
              <w:pStyle w:val="42"/>
              <w:jc w:val="right"/>
              <w:ind w:right="165"/>
              <w:bidi w:val="0"/>
            </w:pPr>
            <w:r>
              <w:rPr>
                <w:b/>
                <w:sz w:val="14"/>
              </w:rPr>
              <w:t>50  450</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54  200</w:t>
            </w:r>
          </w:p>
        </w:tc>
        <w:tc>
          <w:tcPr>
            <w:tcW w:w="1130" w:type="dxa"/>
            <w:shd w:val="clear" w:color="auto" w:fill="FFFFFF"/>
          </w:tcPr>
          <w:p>
            <w:pPr>
              <w:pStyle w:val="42"/>
              <w:jc w:val="right"/>
              <w:ind w:right="165"/>
              <w:bidi w:val="0"/>
            </w:pPr>
            <w:r>
              <w:rPr>
                <w:u w:val="none"/>
              </w:rPr>
              <w:t/>
            </w:r>
          </w:p>
          <w:p>
            <w:pPr>
              <w:pStyle w:val="42"/>
              <w:jc w:val="right"/>
              <w:ind w:right="165"/>
              <w:bidi w:val="0"/>
            </w:pPr>
            <w:r>
              <w:rPr>
                <w:sz w:val="14"/>
              </w:rPr>
              <w:t>88 800</w:t>
            </w:r>
          </w:p>
        </w:tc>
        <w:tc>
          <w:tcPr>
            <w:tcW w:w="1330" w:type="dxa"/>
            <w:shd w:val="clear" w:color="auto" w:fill="FFFFFF"/>
          </w:tcPr>
          <w:p>
            <w:pPr>
              <w:pStyle w:val="42"/>
              <w:jc w:val="right"/>
              <w:ind w:right="165"/>
              <w:bidi w:val="0"/>
            </w:pPr>
            <w:r>
              <w:rPr>
                <w:u w:val="none"/>
              </w:rPr>
              <w:t/>
            </w:r>
          </w:p>
          <w:p>
            <w:pPr>
              <w:jc w:val="right"/>
              <w:ind w:right="105"/>
              <w:bidi w:val="0"/>
            </w:pPr>
            <w:r>
              <w:rPr>
                <w:rFonts w:ascii="Tahoma" w:hAnsi="Tahoma" w:cs="Tahoma" w:eastAsia="Tahoma"/>
                <w:sz w:val="14"/>
              </w:rPr>
              <w:t>-6,9</w:t>
            </w:r>
          </w:p>
        </w:tc>
      </w:tr>
      <w:tr>
        <w:tc>
          <w:tcPr>
            <w:tcW w:w="2420" w:type="dxa"/>
            <w:shd w:val="clear" w:color="auto" w:fill="FFFFFF"/>
          </w:tcPr>
          <w:p>
            <w:pPr>
              <w:jc w:val="right"/>
              <w:ind w:right="105"/>
              <w:bidi w:val="0"/>
            </w:pPr>
            <w:r>
              <w:rPr>
                <w:rFonts w:ascii="Tahoma" w:hAnsi="Tahoma" w:cs="Tahoma" w:eastAsia="Tahoma"/>
              </w:rPr>
              <w:t/>
            </w:r>
          </w:p>
          <w:p>
            <w:pPr>
              <w:pStyle w:val="42"/>
              <w:jc w:val="both"/>
              <w:ind w:right="-60"/>
              <w:bidi w:val="0"/>
            </w:pPr>
            <w:r>
              <w:rPr>
                <w:sz w:val="14"/>
              </w:rPr>
              <w:t>Sorghum</w:t>
            </w:r>
          </w:p>
        </w:tc>
        <w:tc>
          <w:tcPr>
            <w:tcW w:w="1290" w:type="dxa"/>
            <w:shd w:val="clear" w:color="auto" w:fill="FFFFFF"/>
          </w:tcPr>
          <w:p>
            <w:pPr>
              <w:pStyle w:val="42"/>
              <w:jc w:val="both"/>
              <w:ind w:right="-60"/>
              <w:bidi w:val="0"/>
            </w:pPr>
            <w:r>
              <w:rPr>
                <w:u w:val="none"/>
              </w:rPr>
              <w:t/>
            </w:r>
          </w:p>
          <w:p>
            <w:pPr>
              <w:pStyle w:val="42"/>
              <w:jc w:val="right"/>
              <w:ind w:right="165"/>
              <w:bidi w:val="0"/>
            </w:pPr>
            <w:r>
              <w:rPr>
                <w:b/>
                <w:sz w:val="14"/>
              </w:rPr>
              <w:t>86  600</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86  800</w:t>
            </w:r>
          </w:p>
        </w:tc>
        <w:tc>
          <w:tcPr>
            <w:tcW w:w="1130" w:type="dxa"/>
            <w:shd w:val="clear" w:color="auto" w:fill="FFFFFF"/>
          </w:tcPr>
          <w:p>
            <w:pPr>
              <w:pStyle w:val="42"/>
              <w:jc w:val="right"/>
              <w:ind w:right="165"/>
              <w:bidi w:val="0"/>
            </w:pPr>
            <w:r>
              <w:rPr>
                <w:u w:val="none"/>
              </w:rPr>
              <w:t/>
            </w:r>
          </w:p>
          <w:p>
            <w:pPr>
              <w:pStyle w:val="42"/>
              <w:jc w:val="right"/>
              <w:ind w:right="165"/>
              <w:bidi w:val="0"/>
            </w:pPr>
            <w:r>
              <w:rPr>
                <w:sz w:val="14"/>
              </w:rPr>
              <w:t>255 000</w:t>
            </w:r>
          </w:p>
        </w:tc>
        <w:tc>
          <w:tcPr>
            <w:tcW w:w="1330" w:type="dxa"/>
            <w:shd w:val="clear" w:color="auto" w:fill="FFFFFF"/>
          </w:tcPr>
          <w:p>
            <w:pPr>
              <w:pStyle w:val="42"/>
              <w:jc w:val="right"/>
              <w:ind w:right="165"/>
              <w:bidi w:val="0"/>
            </w:pPr>
            <w:r>
              <w:rPr>
                <w:u w:val="none"/>
              </w:rPr>
              <w:t/>
            </w:r>
          </w:p>
          <w:p>
            <w:pPr>
              <w:pStyle w:val="42"/>
              <w:jc w:val="right"/>
              <w:ind w:right="105"/>
              <w:bidi w:val="0"/>
            </w:pPr>
            <w:r>
              <w:rPr>
                <w:sz w:val="14"/>
              </w:rPr>
              <w:t>-0,2</w:t>
            </w:r>
          </w:p>
        </w:tc>
      </w:tr>
      <w:tr>
        <w:tc>
          <w:tcPr>
            <w:tcW w:w="2420" w:type="dxa"/>
            <w:shd w:val="clear" w:color="auto" w:fill="FFFFFF"/>
          </w:tcPr>
          <w:p>
            <w:pPr>
              <w:pStyle w:val="42"/>
              <w:jc w:val="right"/>
              <w:ind w:right="105"/>
              <w:bidi w:val="0"/>
            </w:pPr>
            <w:r>
              <w:rPr>
                <w:u w:val="none"/>
              </w:rPr>
              <w:t/>
            </w:r>
          </w:p>
          <w:p>
            <w:pPr>
              <w:pStyle w:val="42"/>
              <w:jc w:val="both"/>
              <w:ind w:right="-60"/>
              <w:bidi w:val="0"/>
            </w:pPr>
            <w:r>
              <w:rPr>
                <w:sz w:val="14"/>
              </w:rPr>
              <w:t>Droëbone/Dry beans</w:t>
            </w:r>
          </w:p>
        </w:tc>
        <w:tc>
          <w:tcPr>
            <w:tcW w:w="1290" w:type="dxa"/>
            <w:shd w:val="clear" w:color="auto" w:fill="FFFFFF"/>
          </w:tcPr>
          <w:p>
            <w:pPr>
              <w:pStyle w:val="42"/>
              <w:jc w:val="both"/>
              <w:ind w:right="-60"/>
              <w:bidi w:val="0"/>
            </w:pPr>
            <w:r>
              <w:rPr>
                <w:u w:val="none"/>
              </w:rPr>
              <w:t/>
            </w:r>
          </w:p>
          <w:p>
            <w:pPr>
              <w:pStyle w:val="42"/>
              <w:jc w:val="right"/>
              <w:ind w:right="165"/>
              <w:bidi w:val="0"/>
            </w:pPr>
            <w:r>
              <w:rPr>
                <w:b/>
                <w:sz w:val="14"/>
              </w:rPr>
              <w:t>46  200</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43  800</w:t>
            </w:r>
          </w:p>
        </w:tc>
        <w:tc>
          <w:tcPr>
            <w:tcW w:w="1130" w:type="dxa"/>
            <w:shd w:val="clear" w:color="auto" w:fill="FFFFFF"/>
          </w:tcPr>
          <w:p>
            <w:pPr>
              <w:pStyle w:val="42"/>
              <w:jc w:val="right"/>
              <w:ind w:right="165"/>
              <w:bidi w:val="0"/>
            </w:pPr>
            <w:r>
              <w:rPr>
                <w:u w:val="none"/>
              </w:rPr>
              <w:t/>
            </w:r>
          </w:p>
          <w:p>
            <w:pPr>
              <w:pStyle w:val="42"/>
              <w:jc w:val="right"/>
              <w:ind w:right="165"/>
              <w:bidi w:val="0"/>
            </w:pPr>
            <w:r>
              <w:rPr>
                <w:sz w:val="14"/>
              </w:rPr>
              <w:t>58 975</w:t>
            </w:r>
          </w:p>
        </w:tc>
        <w:tc>
          <w:tcPr>
            <w:tcW w:w="1330" w:type="dxa"/>
            <w:shd w:val="clear" w:color="auto" w:fill="FFFFFF"/>
          </w:tcPr>
          <w:p>
            <w:pPr>
              <w:pStyle w:val="42"/>
              <w:jc w:val="right"/>
              <w:ind w:right="165"/>
              <w:bidi w:val="0"/>
            </w:pPr>
            <w:r>
              <w:rPr>
                <w:u w:val="none"/>
              </w:rPr>
              <w:t/>
            </w:r>
          </w:p>
          <w:p>
            <w:pPr>
              <w:jc w:val="right"/>
              <w:ind w:right="105"/>
              <w:bidi w:val="0"/>
            </w:pPr>
            <w:r>
              <w:rPr>
                <w:rFonts w:ascii="Tahoma" w:hAnsi="Tahoma" w:cs="Tahoma" w:eastAsia="Tahoma"/>
                <w:sz w:val="14"/>
              </w:rPr>
              <w:t>+5,5</w:t>
            </w:r>
          </w:p>
        </w:tc>
      </w:tr>
      <w:tr>
        <w:tc>
          <w:tcPr>
            <w:tcW w:w="2420" w:type="dxa"/>
            <w:shd w:val="clear" w:color="auto" w:fill="FFFFFF"/>
          </w:tcPr>
          <w:p>
            <w:pPr>
              <w:jc w:val="right"/>
              <w:ind w:right="105"/>
              <w:bidi w:val="0"/>
            </w:pPr>
            <w:r>
              <w:rPr>
                <w:rFonts w:ascii="Tahoma" w:hAnsi="Tahoma" w:cs="Tahoma" w:eastAsia="Tahoma"/>
              </w:rPr>
              <w:t/>
            </w:r>
          </w:p>
          <w:p>
            <w:pPr>
              <w:pStyle w:val="42"/>
              <w:jc w:val="both"/>
              <w:ind w:right="-60"/>
              <w:bidi w:val="0"/>
            </w:pPr>
            <w:r>
              <w:rPr>
                <w:sz w:val="14"/>
              </w:rPr>
              <w:t>TOTAAL/TOTAL</w:t>
            </w:r>
          </w:p>
        </w:tc>
        <w:tc>
          <w:tcPr>
            <w:tcW w:w="1290" w:type="dxa"/>
            <w:shd w:val="clear" w:color="auto" w:fill="FFFFFF"/>
          </w:tcPr>
          <w:p>
            <w:pPr>
              <w:pStyle w:val="42"/>
              <w:jc w:val="both"/>
              <w:ind w:right="-60"/>
              <w:bidi w:val="0"/>
            </w:pPr>
            <w:r>
              <w:rPr>
                <w:u w:val="none"/>
              </w:rPr>
              <w:t/>
            </w:r>
          </w:p>
          <w:p>
            <w:pPr>
              <w:pStyle w:val="42"/>
              <w:jc w:val="right"/>
              <w:ind w:right="165"/>
              <w:bidi w:val="0"/>
            </w:pPr>
            <w:r>
              <w:rPr>
                <w:b/>
                <w:sz w:val="14"/>
              </w:rPr>
              <w:t>3 577 250</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3 713 500</w:t>
            </w:r>
          </w:p>
        </w:tc>
        <w:tc>
          <w:tcPr>
            <w:tcW w:w="1130" w:type="dxa"/>
            <w:shd w:val="clear" w:color="auto" w:fill="FFFFFF"/>
          </w:tcPr>
          <w:p>
            <w:pPr>
              <w:pStyle w:val="42"/>
              <w:jc w:val="right"/>
              <w:ind w:right="165"/>
              <w:bidi w:val="0"/>
            </w:pPr>
            <w:r>
              <w:rPr>
                <w:u w:val="none"/>
              </w:rPr>
              <w:t/>
            </w:r>
          </w:p>
          <w:p>
            <w:pPr>
              <w:pStyle w:val="42"/>
              <w:jc w:val="right"/>
              <w:ind w:right="165"/>
              <w:bidi w:val="0"/>
            </w:pPr>
            <w:r>
              <w:rPr>
                <w:sz w:val="14"/>
              </w:rPr>
              <w:t>14 256 775</w:t>
            </w:r>
          </w:p>
        </w:tc>
        <w:tc>
          <w:tcPr>
            <w:tcW w:w="1330" w:type="dxa"/>
            <w:shd w:val="clear" w:color="auto" w:fill="FFFFFF"/>
          </w:tcPr>
          <w:p>
            <w:pPr>
              <w:pStyle w:val="42"/>
              <w:jc w:val="right"/>
              <w:ind w:right="165"/>
              <w:bidi w:val="0"/>
            </w:pPr>
            <w:r>
              <w:rPr>
                <w:u w:val="none"/>
              </w:rPr>
              <w:t/>
            </w:r>
          </w:p>
          <w:p>
            <w:pPr>
              <w:pStyle w:val="42"/>
              <w:jc w:val="right"/>
              <w:ind w:right="105"/>
              <w:bidi w:val="0"/>
            </w:pPr>
            <w:r>
              <w:rPr>
                <w:sz w:val="14"/>
              </w:rPr>
              <w:t>-3,7</w:t>
            </w:r>
          </w:p>
        </w:tc>
      </w:tr>
    </w:tbl>
    <w:p>
      <w:pPr>
        <w:bidi w:val="0"/>
      </w:pPr>
      <w:r>
        <w:rPr>
          <w:rFonts w:ascii="Tahoma" w:hAnsi="Tahoma" w:cs="Tahoma" w:eastAsia="Tahoma"/>
        </w:rPr>
        <w:t/>
      </w:r>
    </w:p>
    <w:p>
      <w:pPr>
        <w:pStyle w:val="42"/>
        <w:jc w:val="left"/>
        <w:ind w:right="-60"/>
        <w:bidi w:val="0"/>
        <w:spacing w:before="120" w:after="60"/>
      </w:pPr>
      <w:r>
        <w:rPr>
          <w:sz w:val="14"/>
        </w:rPr>
        <w:t>WINTERGEWASSE – OPPERVLAK- EN SESDE PRODUKSIESKATTING: 2008-SEISOEN</w:t>
      </w:r>
    </w:p>
    <w:p>
      <w:pPr>
        <w:pStyle w:val="42"/>
        <w:jc w:val="left"/>
        <w:ind w:right="-60"/>
        <w:bidi w:val="0"/>
        <w:spacing w:after="120"/>
      </w:pPr>
      <w:r>
        <w:rPr>
          <w:sz w:val="14"/>
        </w:rPr>
        <w:t>WINTER CEREALS –AREA PLANTED AND SIXTH PRODUCTION FORECAST: 2008 SEASON</w:t>
      </w:r>
    </w:p>
    <w:p>
      <w:pPr>
        <w:bidi w:val="0"/>
      </w:pPr>
      <w:r>
        <w:rPr>
          <w:rFonts w:ascii="Tahoma" w:hAnsi="Tahoma" w:cs="Tahoma" w:eastAsia="Tahoma"/>
        </w:rPr>
        <w:t/>
      </w:r>
    </w:p>
    <w:tbl>
      <w:tblPr>
        <w:tblW w:w="10040" w:type="dxa"/>
        <w:tblLayout w:type="fixed"/>
        <w:tblCellMar>
          <w:top w:w="0" w:type="dxa"/>
          <w:left w:w="0" w:type="dxa"/>
          <w:bottom w:w="0" w:type="dxa"/>
          <w:right w:w="0" w:type="dxa"/>
        </w:tblCellMar>
        <w:tblInd w:w="-105" w:type="dxa"/>
      </w:tblPr>
      <w:tblGrid>
        <w:gridCol w:w="2475"/>
        <w:gridCol w:w="1260"/>
        <w:gridCol w:w="1260"/>
        <w:gridCol w:w="1260"/>
        <w:gridCol w:w="1260"/>
        <w:gridCol w:w="1260"/>
        <w:gridCol w:w="1260"/>
      </w:tblGrid>
      <w:tr>
        <w:tc>
          <w:tcPr>
            <w:tcW w:w="2480" w:type="dxa"/>
            <w:shd w:val="clear" w:color="auto" w:fill="FFFFFF"/>
          </w:tcPr>
          <w:p>
            <w:pPr>
              <w:pStyle w:val="42"/>
              <w:jc w:val="both"/>
              <w:ind w:right="-60"/>
              <w:bidi w:val="0"/>
            </w:pPr>
            <w:r>
              <w:rPr>
                <w:sz w:val="14"/>
              </w:rPr>
              <w:t>GEWAS/CROP</w:t>
            </w:r>
          </w:p>
        </w:tc>
        <w:tc>
          <w:tcPr>
            <w:tcW w:w="1260" w:type="dxa"/>
            <w:shd w:val="clear" w:color="auto" w:fill="FFFFFF"/>
          </w:tcPr>
          <w:p>
            <w:pPr>
              <w:pStyle w:val="42"/>
              <w:jc w:val="both"/>
              <w:ind w:right="-60"/>
              <w:bidi w:val="0"/>
            </w:pPr>
            <w:r>
              <w:rPr>
                <w:u w:val="none"/>
              </w:rPr>
              <w:t/>
            </w:r>
          </w:p>
          <w:p>
            <w:pPr>
              <w:pStyle w:val="42"/>
              <w:ind w:left="-240" w:right="-165"/>
              <w:bidi w:val="0"/>
            </w:pPr>
            <w:r>
              <w:rPr>
                <w:sz w:val="14"/>
              </w:rPr>
              <w:t>Opp beplant/</w:t>
            </w:r>
          </w:p>
          <w:p>
            <w:pPr>
              <w:pStyle w:val="42"/>
              <w:ind w:left="-240" w:right="-165"/>
              <w:bidi w:val="0"/>
            </w:pPr>
            <w:r>
              <w:rPr>
                <w:sz w:val="14"/>
              </w:rPr>
              <w:t>Area planted</w:t>
            </w:r>
          </w:p>
          <w:p>
            <w:pPr>
              <w:pStyle w:val="42"/>
              <w:ind w:left="-240" w:right="-165"/>
              <w:bidi w:val="0"/>
            </w:pPr>
            <w:r>
              <w:rPr>
                <w:sz w:val="14"/>
              </w:rPr>
              <w:t>2008</w:t>
            </w:r>
          </w:p>
        </w:tc>
        <w:tc>
          <w:tcPr>
            <w:tcW w:w="1260" w:type="dxa"/>
            <w:shd w:val="clear" w:color="auto" w:fill="FFFFFF"/>
          </w:tcPr>
          <w:p>
            <w:pPr>
              <w:pStyle w:val="42"/>
              <w:ind w:left="-240" w:right="-165"/>
              <w:bidi w:val="0"/>
            </w:pPr>
            <w:r>
              <w:rPr>
                <w:u w:val="none"/>
              </w:rPr>
              <w:t/>
            </w:r>
          </w:p>
          <w:p>
            <w:pPr>
              <w:pStyle w:val="42"/>
              <w:ind w:right="-60"/>
              <w:bidi w:val="0"/>
            </w:pPr>
            <w:r>
              <w:rPr>
                <w:b/>
                <w:sz w:val="14"/>
              </w:rPr>
              <w:t>6</w:t>
            </w:r>
            <w:r>
              <w:rPr>
                <w:b/>
                <w:vertAlign w:val="superscript"/>
                <w:sz w:val="14"/>
              </w:rPr>
              <w:t>de</w:t>
            </w:r>
            <w:r>
              <w:rPr>
                <w:b/>
                <w:sz w:val="14"/>
              </w:rPr>
              <w:t xml:space="preserve"> skatting/ </w:t>
            </w:r>
          </w:p>
          <w:p>
            <w:pPr>
              <w:pStyle w:val="42"/>
              <w:ind w:right="-60"/>
              <w:bidi w:val="0"/>
            </w:pPr>
            <w:r>
              <w:rPr>
                <w:b/>
                <w:sz w:val="14"/>
              </w:rPr>
              <w:t>6</w:t>
            </w:r>
            <w:r>
              <w:rPr>
                <w:b/>
                <w:vertAlign w:val="superscript"/>
                <w:sz w:val="14"/>
              </w:rPr>
              <w:t>th</w:t>
            </w:r>
            <w:r>
              <w:rPr>
                <w:b/>
                <w:sz w:val="14"/>
              </w:rPr>
              <w:t xml:space="preserve"> forecast</w:t>
            </w:r>
          </w:p>
          <w:p>
            <w:pPr>
              <w:pStyle w:val="42"/>
              <w:ind w:right="-60"/>
              <w:bidi w:val="0"/>
            </w:pPr>
            <w:r>
              <w:rPr>
                <w:b/>
                <w:sz w:val="14"/>
              </w:rPr>
              <w:t>2008</w:t>
            </w:r>
          </w:p>
        </w:tc>
        <w:tc>
          <w:tcPr>
            <w:tcW w:w="1260" w:type="dxa"/>
            <w:shd w:val="clear" w:color="auto" w:fill="FFFFFF"/>
          </w:tcPr>
          <w:p>
            <w:pPr>
              <w:pStyle w:val="42"/>
              <w:ind w:right="-60"/>
              <w:bidi w:val="0"/>
            </w:pPr>
            <w:r>
              <w:rPr>
                <w:u w:val="none"/>
              </w:rPr>
              <w:t/>
            </w:r>
          </w:p>
          <w:p>
            <w:pPr>
              <w:pStyle w:val="42"/>
              <w:ind w:right="-60"/>
              <w:bidi w:val="0"/>
            </w:pPr>
            <w:r>
              <w:rPr>
                <w:sz w:val="14"/>
              </w:rPr>
              <w:t>5</w:t>
            </w:r>
            <w:r>
              <w:rPr>
                <w:vertAlign w:val="superscript"/>
                <w:sz w:val="14"/>
              </w:rPr>
              <w:t>de</w:t>
            </w:r>
            <w:r>
              <w:rPr>
                <w:sz w:val="14"/>
              </w:rPr>
              <w:t xml:space="preserve"> skatting/ </w:t>
            </w:r>
          </w:p>
          <w:p>
            <w:pPr>
              <w:pStyle w:val="42"/>
              <w:ind w:right="-60"/>
              <w:bidi w:val="0"/>
            </w:pPr>
            <w:r>
              <w:rPr>
                <w:sz w:val="14"/>
              </w:rPr>
              <w:t>5</w:t>
            </w:r>
            <w:r>
              <w:rPr>
                <w:vertAlign w:val="superscript"/>
                <w:sz w:val="14"/>
              </w:rPr>
              <w:t>th</w:t>
            </w:r>
            <w:r>
              <w:rPr>
                <w:sz w:val="14"/>
              </w:rPr>
              <w:t xml:space="preserve"> forecast</w:t>
            </w:r>
          </w:p>
          <w:p>
            <w:pPr>
              <w:pStyle w:val="42"/>
              <w:ind w:right="-60"/>
              <w:bidi w:val="0"/>
            </w:pPr>
            <w:r>
              <w:rPr>
                <w:sz w:val="14"/>
              </w:rPr>
              <w:t>2008</w:t>
            </w:r>
          </w:p>
        </w:tc>
        <w:tc>
          <w:tcPr>
            <w:tcW w:w="1260" w:type="dxa"/>
            <w:shd w:val="clear" w:color="auto" w:fill="FFFFFF"/>
          </w:tcPr>
          <w:p>
            <w:pPr>
              <w:pStyle w:val="42"/>
              <w:ind w:right="-60"/>
              <w:bidi w:val="0"/>
            </w:pPr>
            <w:r>
              <w:rPr>
                <w:u w:val="none"/>
              </w:rPr>
              <w:t/>
            </w:r>
          </w:p>
          <w:p>
            <w:pPr>
              <w:pStyle w:val="42"/>
              <w:ind w:right="-75" w:hanging="120"/>
              <w:bidi w:val="0"/>
            </w:pPr>
            <w:r>
              <w:rPr>
                <w:sz w:val="14"/>
              </w:rPr>
              <w:t>Opp beplant/</w:t>
            </w:r>
          </w:p>
          <w:p>
            <w:pPr>
              <w:pStyle w:val="42"/>
              <w:ind w:right="-75" w:hanging="120"/>
              <w:bidi w:val="0"/>
            </w:pPr>
            <w:r>
              <w:rPr>
                <w:sz w:val="14"/>
              </w:rPr>
              <w:t>Area planted</w:t>
            </w:r>
          </w:p>
          <w:p>
            <w:pPr>
              <w:pStyle w:val="42"/>
              <w:ind w:right="-75" w:hanging="120"/>
              <w:bidi w:val="0"/>
            </w:pPr>
            <w:r>
              <w:rPr>
                <w:sz w:val="14"/>
              </w:rPr>
              <w:t>2007</w:t>
            </w:r>
          </w:p>
        </w:tc>
        <w:tc>
          <w:tcPr>
            <w:tcW w:w="1260" w:type="dxa"/>
            <w:shd w:val="clear" w:color="auto" w:fill="FFFFFF"/>
          </w:tcPr>
          <w:p>
            <w:pPr>
              <w:pStyle w:val="42"/>
              <w:ind w:right="-75" w:hanging="120"/>
              <w:bidi w:val="0"/>
            </w:pPr>
            <w:r>
              <w:rPr>
                <w:u w:val="none"/>
              </w:rPr>
              <w:t/>
            </w:r>
          </w:p>
          <w:p>
            <w:pPr>
              <w:pStyle w:val="42"/>
              <w:ind w:right="-60"/>
              <w:bidi w:val="0"/>
            </w:pPr>
            <w:r>
              <w:rPr>
                <w:sz w:val="14"/>
              </w:rPr>
              <w:t>Finale oes/</w:t>
            </w:r>
          </w:p>
          <w:p>
            <w:pPr>
              <w:pStyle w:val="42"/>
              <w:ind w:right="-60"/>
              <w:bidi w:val="0"/>
            </w:pPr>
            <w:r>
              <w:rPr>
                <w:sz w:val="14"/>
              </w:rPr>
              <w:t>Final crop</w:t>
            </w:r>
          </w:p>
          <w:p>
            <w:pPr>
              <w:pStyle w:val="42"/>
              <w:ind w:right="-60"/>
              <w:bidi w:val="0"/>
            </w:pPr>
            <w:r>
              <w:rPr>
                <w:sz w:val="14"/>
              </w:rPr>
              <w:t>2007</w:t>
            </w:r>
          </w:p>
        </w:tc>
        <w:tc>
          <w:tcPr>
            <w:tcW w:w="1260" w:type="dxa"/>
            <w:shd w:val="clear" w:color="auto" w:fill="FFFFFF"/>
          </w:tcPr>
          <w:p>
            <w:pPr>
              <w:pStyle w:val="42"/>
              <w:ind w:right="-60"/>
              <w:bidi w:val="0"/>
            </w:pPr>
            <w:r>
              <w:rPr>
                <w:u w:val="none"/>
              </w:rPr>
              <w:t/>
            </w:r>
          </w:p>
          <w:p>
            <w:pPr>
              <w:pStyle w:val="42"/>
              <w:ind w:right="-105"/>
              <w:bidi w:val="0"/>
            </w:pPr>
            <w:r>
              <w:rPr>
                <w:sz w:val="14"/>
              </w:rPr>
              <w:t>Verandering/</w:t>
            </w:r>
          </w:p>
          <w:p>
            <w:pPr>
              <w:pStyle w:val="42"/>
              <w:ind w:right="-105"/>
              <w:bidi w:val="0"/>
            </w:pPr>
            <w:r>
              <w:rPr>
                <w:sz w:val="14"/>
              </w:rPr>
              <w:t>Change</w:t>
            </w:r>
          </w:p>
        </w:tc>
      </w:tr>
      <w:tr>
        <w:tc>
          <w:tcPr>
            <w:tcW w:w="2480" w:type="dxa"/>
            <w:shd w:val="clear" w:color="auto" w:fill="FFFFFF"/>
          </w:tcPr>
          <w:p>
            <w:pPr>
              <w:pStyle w:val="42"/>
              <w:ind w:right="-105"/>
              <w:bidi w:val="0"/>
            </w:pPr>
            <w:r>
              <w:rPr>
                <w:u w:val="none"/>
              </w:rPr>
              <w:t/>
            </w:r>
          </w:p>
          <w:p>
            <w:pPr>
              <w:pStyle w:val="42"/>
              <w:jc w:val="both"/>
              <w:ind w:right="-60"/>
              <w:bidi w:val="0"/>
            </w:pPr>
            <w:r>
              <w:rPr>
                <w:u w:val="none"/>
              </w:rPr>
              <w:t/>
            </w:r>
          </w:p>
        </w:tc>
        <w:tc>
          <w:tcPr>
            <w:tcW w:w="1260" w:type="dxa"/>
            <w:shd w:val="clear" w:color="auto" w:fill="FFFFFF"/>
          </w:tcPr>
          <w:p>
            <w:pPr>
              <w:pStyle w:val="42"/>
              <w:ind w:right="-60"/>
              <w:bidi w:val="0"/>
            </w:pPr>
            <w:r>
              <w:rPr>
                <w:sz w:val="14"/>
              </w:rPr>
              <w:t>Ha</w:t>
            </w:r>
          </w:p>
        </w:tc>
        <w:tc>
          <w:tcPr>
            <w:tcW w:w="1260" w:type="dxa"/>
            <w:shd w:val="clear" w:color="auto" w:fill="FFFFFF"/>
          </w:tcPr>
          <w:p>
            <w:pPr>
              <w:pStyle w:val="42"/>
              <w:ind w:right="-60"/>
              <w:bidi w:val="0"/>
            </w:pPr>
            <w:r>
              <w:rPr>
                <w:u w:val="none"/>
              </w:rPr>
              <w:t/>
            </w:r>
          </w:p>
          <w:p>
            <w:pPr>
              <w:pStyle w:val="42"/>
              <w:ind w:right="-60"/>
              <w:bidi w:val="0"/>
            </w:pPr>
            <w:r>
              <w:rPr>
                <w:b/>
                <w:sz w:val="14"/>
              </w:rPr>
              <w:t>Tons</w:t>
            </w:r>
          </w:p>
        </w:tc>
        <w:tc>
          <w:tcPr>
            <w:tcW w:w="1260" w:type="dxa"/>
            <w:shd w:val="clear" w:color="auto" w:fill="FFFFFF"/>
          </w:tcPr>
          <w:p>
            <w:pPr>
              <w:pStyle w:val="42"/>
              <w:ind w:right="-60"/>
              <w:bidi w:val="0"/>
            </w:pPr>
            <w:r>
              <w:rPr>
                <w:u w:val="none"/>
              </w:rPr>
              <w:t/>
            </w:r>
          </w:p>
          <w:p>
            <w:pPr>
              <w:pStyle w:val="42"/>
              <w:ind w:right="-60"/>
              <w:bidi w:val="0"/>
            </w:pPr>
            <w:r>
              <w:rPr>
                <w:sz w:val="14"/>
              </w:rPr>
              <w:t>Tons</w:t>
            </w:r>
          </w:p>
        </w:tc>
        <w:tc>
          <w:tcPr>
            <w:tcW w:w="1260" w:type="dxa"/>
            <w:shd w:val="clear" w:color="auto" w:fill="FFFFFF"/>
          </w:tcPr>
          <w:p>
            <w:pPr>
              <w:pStyle w:val="42"/>
              <w:ind w:right="-60"/>
              <w:bidi w:val="0"/>
            </w:pPr>
            <w:r>
              <w:rPr>
                <w:u w:val="none"/>
              </w:rPr>
              <w:t/>
            </w:r>
          </w:p>
          <w:p>
            <w:pPr>
              <w:pStyle w:val="42"/>
              <w:ind w:right="-60"/>
              <w:bidi w:val="0"/>
            </w:pPr>
            <w:r>
              <w:rPr>
                <w:sz w:val="14"/>
              </w:rPr>
              <w:t>Ha</w:t>
            </w:r>
          </w:p>
        </w:tc>
        <w:tc>
          <w:tcPr>
            <w:tcW w:w="1260" w:type="dxa"/>
            <w:shd w:val="clear" w:color="auto" w:fill="FFFFFF"/>
          </w:tcPr>
          <w:p>
            <w:pPr>
              <w:pStyle w:val="42"/>
              <w:ind w:right="-60"/>
              <w:bidi w:val="0"/>
            </w:pPr>
            <w:r>
              <w:rPr>
                <w:u w:val="none"/>
              </w:rPr>
              <w:t/>
            </w:r>
          </w:p>
          <w:p>
            <w:pPr>
              <w:pStyle w:val="42"/>
              <w:ind w:right="-60"/>
              <w:bidi w:val="0"/>
            </w:pPr>
            <w:r>
              <w:rPr>
                <w:sz w:val="14"/>
              </w:rPr>
              <w:t>Tons</w:t>
            </w:r>
          </w:p>
        </w:tc>
        <w:tc>
          <w:tcPr>
            <w:tcW w:w="1260" w:type="dxa"/>
            <w:shd w:val="clear" w:color="auto" w:fill="FFFFFF"/>
          </w:tcPr>
          <w:p>
            <w:pPr>
              <w:pStyle w:val="42"/>
              <w:ind w:right="-60"/>
              <w:bidi w:val="0"/>
            </w:pPr>
            <w:r>
              <w:rPr>
                <w:u w:val="none"/>
              </w:rPr>
              <w:t/>
            </w:r>
          </w:p>
          <w:p>
            <w:pPr>
              <w:pStyle w:val="42"/>
              <w:ind w:right="-60"/>
              <w:bidi w:val="0"/>
            </w:pPr>
            <w:r>
              <w:rPr>
                <w:sz w:val="14"/>
              </w:rPr>
              <w:t>%</w:t>
            </w:r>
          </w:p>
        </w:tc>
      </w:tr>
      <w:tr>
        <w:tc>
          <w:tcPr>
            <w:tcW w:w="2480" w:type="dxa"/>
            <w:shd w:val="clear" w:color="auto" w:fill="FFFFFF"/>
          </w:tcPr>
          <w:p>
            <w:pPr>
              <w:pStyle w:val="42"/>
              <w:ind w:right="-60"/>
              <w:bidi w:val="0"/>
            </w:pPr>
            <w:r>
              <w:rPr>
                <w:u w:val="none"/>
              </w:rPr>
              <w:t/>
            </w:r>
          </w:p>
          <w:p>
            <w:pPr>
              <w:pStyle w:val="42"/>
              <w:jc w:val="both"/>
              <w:ind w:right="-60"/>
              <w:bidi w:val="0"/>
            </w:pPr>
            <w:r>
              <w:rPr>
                <w:u w:val="none"/>
              </w:rPr>
              <w:t/>
            </w:r>
          </w:p>
        </w:tc>
        <w:tc>
          <w:tcPr>
            <w:tcW w:w="1260" w:type="dxa"/>
            <w:shd w:val="clear" w:color="auto" w:fill="FFFFFF"/>
          </w:tcPr>
          <w:p>
            <w:pPr>
              <w:pStyle w:val="42"/>
              <w:ind w:right="-60"/>
              <w:bidi w:val="0"/>
            </w:pPr>
            <w:r>
              <w:rPr>
                <w:sz w:val="14"/>
              </w:rPr>
              <w:t>(A)</w:t>
            </w:r>
          </w:p>
        </w:tc>
        <w:tc>
          <w:tcPr>
            <w:tcW w:w="1260" w:type="dxa"/>
            <w:shd w:val="clear" w:color="auto" w:fill="FFFFFF"/>
          </w:tcPr>
          <w:p>
            <w:pPr>
              <w:pStyle w:val="42"/>
              <w:ind w:right="-60"/>
              <w:bidi w:val="0"/>
            </w:pPr>
            <w:r>
              <w:rPr>
                <w:u w:val="none"/>
              </w:rPr>
              <w:t/>
            </w:r>
          </w:p>
          <w:p>
            <w:pPr>
              <w:pStyle w:val="42"/>
              <w:ind w:right="-60"/>
              <w:bidi w:val="0"/>
            </w:pPr>
            <w:r>
              <w:rPr>
                <w:b/>
                <w:sz w:val="14"/>
              </w:rPr>
              <w:t>(B)</w:t>
            </w:r>
          </w:p>
        </w:tc>
        <w:tc>
          <w:tcPr>
            <w:tcW w:w="1260" w:type="dxa"/>
            <w:shd w:val="clear" w:color="auto" w:fill="FFFFFF"/>
          </w:tcPr>
          <w:p>
            <w:pPr>
              <w:pStyle w:val="42"/>
              <w:ind w:right="-60"/>
              <w:bidi w:val="0"/>
            </w:pPr>
            <w:r>
              <w:rPr>
                <w:u w:val="none"/>
              </w:rPr>
              <w:t/>
            </w:r>
          </w:p>
          <w:p>
            <w:pPr>
              <w:pStyle w:val="42"/>
              <w:ind w:right="-60"/>
              <w:bidi w:val="0"/>
            </w:pPr>
            <w:r>
              <w:rPr>
                <w:sz w:val="14"/>
              </w:rPr>
              <w:t>(C)</w:t>
            </w:r>
          </w:p>
        </w:tc>
        <w:tc>
          <w:tcPr>
            <w:tcW w:w="1260" w:type="dxa"/>
            <w:shd w:val="clear" w:color="auto" w:fill="FFFFFF"/>
          </w:tcPr>
          <w:p>
            <w:pPr>
              <w:pStyle w:val="42"/>
              <w:ind w:right="-60"/>
              <w:bidi w:val="0"/>
            </w:pPr>
            <w:r>
              <w:rPr>
                <w:u w:val="none"/>
              </w:rPr>
              <w:t/>
            </w:r>
          </w:p>
          <w:p>
            <w:pPr>
              <w:pStyle w:val="42"/>
              <w:ind w:right="-60"/>
              <w:bidi w:val="0"/>
            </w:pPr>
            <w:r>
              <w:rPr>
                <w:sz w:val="14"/>
              </w:rPr>
              <w:t>(D)</w:t>
            </w:r>
          </w:p>
        </w:tc>
        <w:tc>
          <w:tcPr>
            <w:tcW w:w="1260" w:type="dxa"/>
            <w:shd w:val="clear" w:color="auto" w:fill="FFFFFF"/>
          </w:tcPr>
          <w:p>
            <w:pPr>
              <w:pStyle w:val="42"/>
              <w:ind w:right="-60"/>
              <w:bidi w:val="0"/>
            </w:pPr>
            <w:r>
              <w:rPr>
                <w:u w:val="none"/>
              </w:rPr>
              <w:t/>
            </w:r>
          </w:p>
          <w:p>
            <w:pPr>
              <w:pStyle w:val="42"/>
              <w:ind w:right="-60"/>
              <w:bidi w:val="0"/>
            </w:pPr>
            <w:r>
              <w:rPr>
                <w:sz w:val="14"/>
              </w:rPr>
              <w:t>(E)</w:t>
            </w:r>
          </w:p>
        </w:tc>
        <w:tc>
          <w:tcPr>
            <w:tcW w:w="1260" w:type="dxa"/>
            <w:shd w:val="clear" w:color="auto" w:fill="FFFFFF"/>
          </w:tcPr>
          <w:p>
            <w:pPr>
              <w:pStyle w:val="42"/>
              <w:ind w:right="-60"/>
              <w:bidi w:val="0"/>
            </w:pPr>
            <w:r>
              <w:rPr>
                <w:u w:val="none"/>
              </w:rPr>
              <w:t/>
            </w:r>
          </w:p>
          <w:p>
            <w:pPr>
              <w:pStyle w:val="42"/>
              <w:ind w:right="-60"/>
              <w:bidi w:val="0"/>
            </w:pPr>
            <w:r>
              <w:rPr>
                <w:sz w:val="14"/>
              </w:rPr>
              <w:t>(B) ÷ (C)</w:t>
            </w:r>
          </w:p>
        </w:tc>
      </w:tr>
      <w:tr>
        <w:tc>
          <w:tcPr>
            <w:tcW w:w="10040" w:type="dxa"/>
            <w:gridSpan w:val="7"/>
            <w:shd w:val="clear" w:color="auto" w:fill="FFFFFF"/>
          </w:tcPr>
          <w:p>
            <w:pPr>
              <w:pStyle w:val="42"/>
              <w:ind w:right="-60"/>
              <w:bidi w:val="0"/>
            </w:pPr>
            <w:r>
              <w:rPr>
                <w:u w:val="none"/>
              </w:rPr>
              <w:t/>
            </w:r>
          </w:p>
          <w:p>
            <w:pPr>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Kommersieel / Commercial:</w:t>
            </w:r>
          </w:p>
        </w:tc>
      </w:tr>
      <w:tr>
        <w:tc>
          <w:tcPr>
            <w:tcW w:w="2480" w:type="dxa"/>
            <w:shd w:val="clear" w:color="auto" w:fill="FFFFFF"/>
          </w:tcPr>
          <w:p>
            <w:pPr>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left"/>
              <w:ind w:right="75"/>
              <w:bidi w:val="0"/>
            </w:pPr>
            <w:r>
              <w:rPr>
                <w:sz w:val="14"/>
              </w:rPr>
              <w:t>Koring/Wheat</w:t>
            </w:r>
          </w:p>
        </w:tc>
        <w:tc>
          <w:tcPr>
            <w:tcW w:w="1260" w:type="dxa"/>
            <w:shd w:val="clear" w:color="auto" w:fill="FFFFFF"/>
          </w:tcPr>
          <w:p>
            <w:pPr>
              <w:pStyle w:val="42"/>
              <w:jc w:val="left"/>
              <w:ind w:right="75"/>
              <w:bidi w:val="0"/>
            </w:pPr>
            <w:r>
              <w:rPr>
                <w:u w:val="none"/>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748 000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2 079 925</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2 022 000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632 000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1 905 000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+2,9</w:t>
            </w:r>
          </w:p>
        </w:tc>
      </w:tr>
      <w:tr>
        <w:tc>
          <w:tcPr>
            <w:tcW w:w="248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pPr>
            <w:r>
              <w:rPr>
                <w:sz w:val="14"/>
              </w:rPr>
              <w:t>Moutgars/Malting barley</w:t>
            </w:r>
          </w:p>
        </w:tc>
        <w:tc>
          <w:tcPr>
            <w:tcW w:w="1260" w:type="dxa"/>
            <w:shd w:val="clear" w:color="auto" w:fill="FFFFFF"/>
          </w:tcPr>
          <w:p>
            <w:pPr>
              <w:pStyle w:val="42"/>
              <w:jc w:val="both"/>
              <w:ind w:right="-60"/>
              <w:bidi w:val="0"/>
            </w:pPr>
            <w:r>
              <w:rPr>
                <w:u w:val="none"/>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68 245</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194 399</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188 799</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73 360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222 500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w:t>
            </w:r>
          </w:p>
        </w:tc>
      </w:tr>
      <w:tr>
        <w:tc>
          <w:tcPr>
            <w:tcW w:w="248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pPr>
            <w:r>
              <w:rPr>
                <w:sz w:val="14"/>
              </w:rPr>
              <w:t>Kanola/Canola</w:t>
            </w:r>
          </w:p>
        </w:tc>
        <w:tc>
          <w:tcPr>
            <w:tcW w:w="1260" w:type="dxa"/>
            <w:shd w:val="clear" w:color="auto" w:fill="FFFFFF"/>
          </w:tcPr>
          <w:p>
            <w:pPr>
              <w:pStyle w:val="42"/>
              <w:jc w:val="both"/>
              <w:ind w:right="-60"/>
              <w:bidi w:val="0"/>
            </w:pPr>
            <w:r>
              <w:rPr>
                <w:u w:val="none"/>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34 000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32 300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34 000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33 200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38 150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r>
      <w:tr>
        <w:tc>
          <w:tcPr>
            <w:tcW w:w="248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pPr>
            <w:r>
              <w:rPr>
                <w:sz w:val="14"/>
              </w:rPr>
              <w:t>Totaal/Total</w:t>
            </w:r>
          </w:p>
        </w:tc>
        <w:tc>
          <w:tcPr>
            <w:tcW w:w="1260" w:type="dxa"/>
            <w:shd w:val="clear" w:color="auto" w:fill="FFFFFF"/>
          </w:tcPr>
          <w:p>
            <w:pPr>
              <w:pStyle w:val="42"/>
              <w:jc w:val="both"/>
              <w:ind w:right="-60"/>
              <w:bidi w:val="0"/>
            </w:pPr>
            <w:r>
              <w:rPr>
                <w:u w:val="none"/>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850  245</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2 306 624</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2  244  799</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738 560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2  165 650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w:t>
            </w:r>
          </w:p>
        </w:tc>
      </w:tr>
    </w:tbl>
    <w:p>
      <w:pPr>
        <w:bidi w:val="0"/>
      </w:pPr>
      <w:r>
        <w:rPr>
          <w:rFonts w:ascii="Tahoma" w:hAnsi="Tahoma" w:cs="Tahoma" w:eastAsia="Tahoma"/>
        </w:rPr>
        <w:t/>
      </w:r>
    </w:p>
    <w:p>
      <w:pPr>
        <w:pStyle w:val="42"/>
        <w:ind w:right="-60"/>
        <w:bidi w:val="0"/>
      </w:pPr>
      <w:r>
        <w:rPr>
          <w:sz w:val="16"/>
        </w:rP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bidi w:val="0"/>
      </w:pPr>
      <w:r>
        <w:rPr>
          <w:rFonts w:ascii="Tahoma" w:hAnsi="Tahoma" w:cs="Tahoma" w:eastAsia="Tahoma"/>
        </w:rPr>
        <w:t/>
      </w:r>
    </w:p>
    <w:p>
      <w:pPr>
        <w:bidi w:val="0"/>
      </w:pPr>
      <w:r>
        <w:t/>
      </w:r>
    </w:p>
    <w:p>
      <w:pPr>
        <w:pStyle w:val="42"/>
        <w:jc w:val="left"/>
        <w:ind w:right="-60"/>
        <w:bidi w:val="0"/>
        <w:spacing w:after="60"/>
      </w:pPr>
      <w:r>
        <w:t/>
      </w:r>
    </w:p>
    <w:p>
      <w:pPr>
        <w:pStyle w:val="42"/>
        <w:jc w:val="left"/>
        <w:ind w:right="-60"/>
        <w:bidi w:val="0"/>
        <w:spacing w:after="60"/>
      </w:pPr>
      <w:r>
        <w:rPr>
          <w:sz w:val="14"/>
        </w:rPr>
        <w:t>WIT- EN GEELMIELIES – VOORLOPIGE OPPERVLAKSKATTING: 2008/09-SEISOEN</w:t>
      </w:r>
    </w:p>
    <w:p>
      <w:pPr>
        <w:pStyle w:val="42"/>
        <w:jc w:val="left"/>
        <w:ind w:right="-60"/>
        <w:bidi w:val="0"/>
      </w:pPr>
      <w:r>
        <w:rPr>
          <w:sz w:val="14"/>
        </w:rPr>
        <w:t>WHITE AND YELLOW MAIZE – PRELIMINARY AREA PLANTED ESTIMATE: 2008/09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2250" w:type="dxa"/>
        <w:tblLayout w:type="fixed"/>
        <w:tblCellMar>
          <w:top w:w="0" w:type="dxa"/>
          <w:left w:w="0" w:type="dxa"/>
          <w:bottom w:w="0" w:type="dxa"/>
          <w:right w:w="0" w:type="dxa"/>
        </w:tblCellMar>
      </w:tblPr>
      <w:tblGrid>
        <w:gridCol w:w="2295"/>
        <w:gridCol w:w="1095"/>
        <w:gridCol w:w="1110"/>
        <w:gridCol w:w="1095"/>
        <w:gridCol w:w="1095"/>
        <w:gridCol w:w="1110"/>
        <w:gridCol w:w="1095"/>
        <w:gridCol w:w="1095"/>
        <w:gridCol w:w="1110"/>
        <w:gridCol w:w="1095"/>
      </w:tblGrid>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626 000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662 000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655 500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430 000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1 085 500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2 978 000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1 950 000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4 928 000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37 000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39 000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237 000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489 000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240 000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495 000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268 000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1 475 000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1 400 000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2 875 000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164 000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224 000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568 000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0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710 000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2 829 000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1 598 500 </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997 500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2 596 000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1 737 000 </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1 062 000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7 480 000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5 220 000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12 700 000</w:t>
            </w:r>
          </w:p>
        </w:tc>
      </w:tr>
    </w:tbl>
    <w:p>
      <w:pPr>
        <w:bidi w:val="0"/>
      </w:pPr>
      <w:r>
        <w:rPr>
          <w:rFonts w:ascii="Tahoma" w:hAnsi="Tahoma" w:cs="Tahoma" w:eastAsia="Tahoma"/>
        </w:rPr>
        <w:t/>
      </w:r>
    </w:p>
    <w:p>
      <w:pPr>
        <w:pStyle w:val="42"/>
        <w:ind w:right="-60"/>
        <w:bidi w:val="0"/>
      </w:pPr>
      <w:r>
        <w:t/>
      </w:r>
    </w:p>
    <w:p>
      <w:pPr>
        <w:pStyle w:val="42"/>
        <w:ind w:right="-60"/>
        <w:bidi w:val="0"/>
      </w:pPr>
      <w:r>
        <w:t/>
      </w:r>
    </w:p>
    <w:p>
      <w:pPr>
        <w:bidi w:val="0"/>
      </w:pPr>
      <w:r>
        <w:rPr>
          <w:rFonts w:ascii="Tahoma" w:hAnsi="Tahoma" w:cs="Tahoma" w:eastAsia="Tahoma"/>
        </w:rPr>
        <w:t/>
      </w:r>
    </w:p>
    <w:p>
      <w:pPr>
        <w:bidi w:val="0"/>
      </w:pPr>
      <w:r>
        <w:t/>
      </w:r>
    </w:p>
    <w:p>
      <w:pPr>
        <w:pStyle w:val="42"/>
        <w:jc w:val="left"/>
        <w:ind w:right="-60"/>
        <w:bidi w:val="0"/>
        <w:spacing w:after="60"/>
      </w:pPr>
      <w:r>
        <w:rPr>
          <w:sz w:val="14"/>
        </w:rPr>
        <w:t>SONNEBLOMSAAD – VOORLOPIGE OPPERVLAKSKATTING: 2008/09-SEISOEN</w:t>
      </w:r>
    </w:p>
    <w:p>
      <w:pPr>
        <w:pStyle w:val="42"/>
        <w:jc w:val="left"/>
        <w:ind w:right="-60"/>
        <w:bidi w:val="0"/>
      </w:pPr>
      <w:r>
        <w:rPr>
          <w:sz w:val="14"/>
        </w:rPr>
        <w:t>SUNFLOWER SEED – AREA PLANTED AND FINAL PRODUCTION ESTIMATE: 2008/09 SEASON</w:t>
      </w:r>
    </w:p>
    <w:p>
      <w:pPr>
        <w:pStyle w:val="42"/>
        <w:jc w:val="left"/>
        <w:ind w:right="-60"/>
        <w:bidi w:val="0"/>
      </w:pPr>
      <w:r>
        <w:t/>
      </w:r>
    </w:p>
    <w:p>
      <w:pPr>
        <w:bidi w:val="0"/>
      </w:pPr>
      <w:r>
        <w:rPr>
          <w:rFonts w:ascii="Tahoma" w:hAnsi="Tahoma" w:cs="Tahoma" w:eastAsia="Tahoma"/>
        </w:rPr>
        <w:t/>
      </w:r>
    </w:p>
    <w:tbl>
      <w:tblPr>
        <w:tblW w:w="6230" w:type="dxa"/>
        <w:tblLayout w:type="fixed"/>
        <w:tblCellMar>
          <w:top w:w="0" w:type="dxa"/>
          <w:left w:w="0" w:type="dxa"/>
          <w:bottom w:w="0" w:type="dxa"/>
          <w:right w:w="0" w:type="dxa"/>
        </w:tblCellMar>
      </w:tblPr>
      <w:tblGrid>
        <w:gridCol w:w="2355"/>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459 000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27 200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77 000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564 300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872 000</w:t>
            </w:r>
          </w:p>
        </w:tc>
      </w:tr>
    </w:tbl>
    <w:p>
      <w:pPr>
        <w:bidi w:val="0"/>
      </w:pPr>
      <w:r>
        <w:rPr>
          <w:rFonts w:ascii="Tahoma" w:hAnsi="Tahoma" w:cs="Tahoma" w:eastAsia="Tahoma"/>
        </w:rPr>
        <w:t/>
      </w:r>
    </w:p>
    <w:p>
      <w:pPr>
        <w:pStyle w:val="42"/>
        <w:jc w:val="left"/>
        <w:ind w:right="-60"/>
        <w:bidi w:val="0"/>
        <w:spacing w:after="60"/>
      </w:pPr>
      <w:r>
        <w:rPr>
          <w:sz w:val="14"/>
        </w:rPr>
        <w:t>SOJABONE – VOORLOPIGE OPPERVLAKSKATTING: 2008/09-SEISOEN</w:t>
      </w:r>
    </w:p>
    <w:p>
      <w:pPr>
        <w:pStyle w:val="42"/>
        <w:jc w:val="left"/>
        <w:ind w:right="-60"/>
        <w:bidi w:val="0"/>
      </w:pPr>
      <w:r>
        <w:rPr>
          <w:sz w:val="14"/>
        </w:rPr>
        <w:t>SOYA-BEANS – PRELIMINARY AREA PLANTED ESTIMATE: 2008/09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6230" w:type="dxa"/>
        <w:tblLayout w:type="fixed"/>
        <w:tblCellMar>
          <w:top w:w="0" w:type="dxa"/>
          <w:left w:w="0" w:type="dxa"/>
          <w:bottom w:w="0" w:type="dxa"/>
          <w:right w:w="0" w:type="dxa"/>
        </w:tblCellMar>
      </w:tblPr>
      <w:tblGrid>
        <w:gridCol w:w="2355"/>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45 000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48 000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64 500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500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500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44 000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128 000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165 400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282 000</w:t>
            </w:r>
          </w:p>
        </w:tc>
      </w:tr>
    </w:tbl>
    <w:p>
      <w:pPr>
        <w:bidi w:val="0"/>
      </w:pPr>
      <w:r>
        <w:rPr>
          <w:rFonts w:ascii="Tahoma" w:hAnsi="Tahoma" w:cs="Tahoma" w:eastAsia="Tahoma"/>
        </w:rPr>
        <w:t/>
      </w:r>
    </w:p>
    <w:p>
      <w:pPr>
        <w:pStyle w:val="42"/>
        <w:ind w:right="-60"/>
        <w:bidi w:val="0"/>
      </w:pPr>
      <w:r>
        <w:t/>
      </w:r>
    </w:p>
    <w:p>
      <w:pPr>
        <w:pStyle w:val="42"/>
        <w:ind w:right="-60"/>
        <w:bidi w:val="0"/>
      </w:pPr>
      <w:r>
        <w:t/>
      </w:r>
    </w:p>
    <w:p>
      <w:pPr>
        <w:pStyle w:val="42"/>
        <w:ind w:right="-60"/>
        <w:bidi w:val="0"/>
      </w:pPr>
      <w:r>
        <w:t/>
      </w:r>
    </w:p>
    <w:p>
      <w:pPr>
        <w:pStyle w:val="42"/>
        <w:jc w:val="left"/>
        <w:ind w:right="-60"/>
        <w:bidi w:val="0"/>
        <w:spacing w:after="60"/>
      </w:pPr>
      <w:r>
        <w:rPr>
          <w:sz w:val="14"/>
        </w:rPr>
        <w:t>GRONDBONE – VOORLOPIGE OPPERVLAKSKATTING: 2008/09-SEISOEN</w:t>
      </w:r>
    </w:p>
    <w:p>
      <w:pPr>
        <w:pStyle w:val="42"/>
        <w:jc w:val="left"/>
        <w:ind w:right="-60"/>
        <w:bidi w:val="0"/>
      </w:pPr>
      <w:r>
        <w:rPr>
          <w:sz w:val="14"/>
        </w:rPr>
        <w:t>GROUNDNUTS – PRELIMINARY AREA PLANTED ESTIMATE: 2008/09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6230" w:type="dxa"/>
        <w:tblLayout w:type="fixed"/>
        <w:tblCellMar>
          <w:top w:w="0" w:type="dxa"/>
          <w:left w:w="0" w:type="dxa"/>
          <w:bottom w:w="0" w:type="dxa"/>
          <w:right w:w="0" w:type="dxa"/>
        </w:tblCellMar>
      </w:tblPr>
      <w:tblGrid>
        <w:gridCol w:w="2355"/>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21 500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35 700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2 600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5 810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25 650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50 450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54 200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88 800</w:t>
            </w:r>
          </w:p>
        </w:tc>
      </w:tr>
    </w:tbl>
    <w:p>
      <w:pPr>
        <w:bidi w:val="0"/>
      </w:pPr>
      <w:r>
        <w:rPr>
          <w:rFonts w:ascii="Tahoma" w:hAnsi="Tahoma" w:cs="Tahoma" w:eastAsia="Tahoma"/>
        </w:rPr>
        <w:t/>
      </w:r>
    </w:p>
    <w:p>
      <w:pPr>
        <w:pStyle w:val="42"/>
        <w:ind w:right="-60"/>
        <w:bidi w:val="0"/>
      </w:pPr>
      <w:r>
        <w:t/>
      </w:r>
    </w:p>
    <w:p>
      <w:pPr>
        <w:pStyle w:val="42"/>
        <w:jc w:val="left"/>
        <w:ind w:right="-60"/>
        <w:bidi w:val="0"/>
        <w:spacing w:after="60"/>
      </w:pPr>
      <w:r>
        <w:rPr>
          <w:sz w:val="14"/>
        </w:rPr>
        <w:t>SORGHUM – VOORLOPIGE OPPERVLAKSKATTING: 2008/09-SEISOEN</w:t>
      </w:r>
    </w:p>
    <w:p>
      <w:pPr>
        <w:pStyle w:val="42"/>
        <w:jc w:val="left"/>
        <w:ind w:right="-60"/>
        <w:bidi w:val="0"/>
      </w:pPr>
      <w:r>
        <w:rPr>
          <w:sz w:val="14"/>
        </w:rPr>
        <w:t>SORGHUM – PRELIMINARY AREA PLANTED ESTIMATE: 2008/09 SEASON</w:t>
      </w:r>
    </w:p>
    <w:p>
      <w:pPr>
        <w:jc w:val="both"/>
        <w:ind w:right="-795"/>
        <w:bidi w:val="0"/>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6230" w:type="dxa"/>
        <w:tblLayout w:type="fixed"/>
        <w:tblCellMar>
          <w:top w:w="0" w:type="dxa"/>
          <w:left w:w="0" w:type="dxa"/>
          <w:bottom w:w="0" w:type="dxa"/>
          <w:right w:w="0" w:type="dxa"/>
        </w:tblCellMar>
      </w:tblPr>
      <w:tblGrid>
        <w:gridCol w:w="2355"/>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142 500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11 200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86 600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86 800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255 000</w:t>
            </w:r>
          </w:p>
        </w:tc>
      </w:tr>
    </w:tbl>
    <w:p>
      <w:pPr>
        <w:bidi w:val="0"/>
      </w:pPr>
      <w:r>
        <w:rPr>
          <w:rFonts w:ascii="Tahoma" w:hAnsi="Tahoma" w:cs="Tahoma" w:eastAsia="Tahoma"/>
        </w:rPr>
        <w:t/>
      </w:r>
    </w:p>
    <w:p>
      <w:pPr>
        <w:pStyle w:val="42"/>
        <w:ind w:right="-60"/>
        <w:bidi w:val="0"/>
      </w:pPr>
      <w:r>
        <w:t/>
      </w:r>
    </w:p>
    <w:p>
      <w:pPr>
        <w:pStyle w:val="42"/>
        <w:jc w:val="left"/>
        <w:ind w:right="-60"/>
        <w:bidi w:val="0"/>
      </w:pPr>
      <w:r>
        <w:t/>
      </w:r>
    </w:p>
    <w:p>
      <w:pPr>
        <w:pStyle w:val="42"/>
        <w:jc w:val="left"/>
        <w:ind w:right="-60"/>
        <w:bidi w:val="0"/>
      </w:pPr>
      <w:r>
        <w:t/>
      </w:r>
    </w:p>
    <w:p>
      <w:pPr>
        <w:pStyle w:val="42"/>
        <w:jc w:val="left"/>
        <w:ind w:right="-60"/>
        <w:bidi w:val="0"/>
        <w:spacing w:after="60"/>
      </w:pPr>
      <w:r>
        <w:rPr>
          <w:sz w:val="14"/>
        </w:rPr>
        <w:t>DRO</w:t>
      </w:r>
      <w:r>
        <w:rPr>
          <w:rFonts w:ascii="Arial" w:hAnsi="Arial" w:cs="Arial" w:eastAsia="Arial"/>
          <w:sz w:val="14"/>
        </w:rPr>
        <w:t>Ë</w:t>
      </w:r>
      <w:r>
        <w:rPr>
          <w:sz w:val="14"/>
        </w:rPr>
        <w:t>BONE – VOORLOPIGE OPPERVLAKSKATTING: 2008/09-SEISOEN N</w:t>
      </w:r>
    </w:p>
    <w:p>
      <w:pPr>
        <w:pStyle w:val="42"/>
        <w:jc w:val="left"/>
        <w:ind w:right="-60"/>
        <w:bidi w:val="0"/>
      </w:pPr>
      <w:r>
        <w:rPr>
          <w:sz w:val="14"/>
        </w:rPr>
        <w:t>DRY BEANS – AREA PLANTED AND FINAL PRODUCTION ESTIMATE: 2008/09 SEASON</w:t>
      </w:r>
    </w:p>
    <w:p>
      <w:pPr>
        <w:pStyle w:val="42"/>
        <w:jc w:val="left"/>
        <w:ind w:right="-60"/>
        <w:bidi w:val="0"/>
      </w:pPr>
      <w:r>
        <w:t/>
      </w:r>
    </w:p>
    <w:p>
      <w:pPr>
        <w:bidi w:val="0"/>
      </w:pPr>
      <w:r>
        <w:rPr>
          <w:rFonts w:ascii="Tahoma" w:hAnsi="Tahoma" w:cs="Tahoma" w:eastAsia="Tahoma"/>
        </w:rPr>
        <w:t/>
      </w:r>
    </w:p>
    <w:tbl>
      <w:tblPr>
        <w:tblW w:w="6230" w:type="dxa"/>
        <w:tblLayout w:type="fixed"/>
        <w:tblCellMar>
          <w:top w:w="0" w:type="dxa"/>
          <w:left w:w="0" w:type="dxa"/>
          <w:bottom w:w="0" w:type="dxa"/>
          <w:right w:w="0" w:type="dxa"/>
        </w:tblCellMar>
      </w:tblPr>
      <w:tblGrid>
        <w:gridCol w:w="2355"/>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21 450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5 950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6 800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5 075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3 850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46 200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58 975</w:t>
            </w:r>
          </w:p>
        </w:tc>
      </w:tr>
    </w:tbl>
    <w:p>
      <w:pPr>
        <w:bidi w:val="0"/>
      </w:pPr>
      <w:r>
        <w:rPr>
          <w:rFonts w:ascii="Tahoma" w:hAnsi="Tahoma" w:cs="Tahoma" w:eastAsia="Tahoma"/>
        </w:rPr>
        <w:t/>
      </w:r>
    </w:p>
    <w:p>
      <w:pPr>
        <w:pStyle w:val="42"/>
        <w:ind w:right="-60"/>
        <w:bidi w:val="0"/>
      </w:pPr>
      <w:r>
        <w:t/>
      </w:r>
    </w:p>
    <w:p>
      <w:pPr>
        <w:pStyle w:val="42"/>
        <w:jc w:val="left"/>
        <w:ind w:right="-60"/>
        <w:bidi w:val="0"/>
        <w:spacing w:after="60"/>
      </w:pPr>
      <w:r>
        <w:rPr>
          <w:sz w:val="14"/>
        </w:rPr>
        <w:t>KORING – OPPERVLAK- EN SESDE PRODUKSIESKATTING: 2008-SEISOEN</w:t>
      </w:r>
    </w:p>
    <w:p>
      <w:pPr>
        <w:pStyle w:val="42"/>
        <w:jc w:val="left"/>
        <w:ind w:right="-60"/>
        <w:bidi w:val="0"/>
      </w:pPr>
      <w:r>
        <w:rPr>
          <w:sz w:val="14"/>
        </w:rPr>
        <w:t>WHEAT – AREA PLANTED AND SIXTH PRODUCTION FORECAST: 2008 SEASON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w:t>
            </w:r>
            <w:r>
              <w:rPr>
                <w:rFonts w:ascii="Tahoma" w:hAnsi="Tahoma" w:cs="Tahoma" w:eastAsia="Tahoma"/>
                <w:vertAlign w:val="superscript"/>
                <w:sz w:val="14"/>
              </w:rPr>
              <w:t xml:space="preserve">de </w:t>
            </w:r>
            <w:r>
              <w:rPr>
                <w:rFonts w:ascii="Tahoma" w:hAnsi="Tahoma" w:cs="Tahoma" w:eastAsia="Tahoma"/>
                <w:sz w:val="14"/>
              </w:rPr>
              <w:t>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w:t>
            </w:r>
            <w:r>
              <w:rPr>
                <w:rFonts w:ascii="Tahoma" w:hAnsi="Tahoma" w:cs="Tahoma" w:eastAsia="Tahoma"/>
                <w:vertAlign w:val="superscript"/>
                <w:sz w:val="14"/>
              </w:rPr>
              <w:t>th</w:t>
            </w:r>
            <w:r>
              <w:rPr>
                <w:rFonts w:ascii="Tahoma" w:hAnsi="Tahoma" w:cs="Tahoma" w:eastAsia="Tahoma"/>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sz w:val="14"/>
              </w:rPr>
              <w:t>2008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14"/>
              </w:rPr>
              <w:t>350 000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840 000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325 000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812 000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14"/>
              </w:rPr>
              <w:t>50 000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320 000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42 000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264 500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14"/>
              </w:rPr>
              <w:t>280 000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560 000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215 000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570 000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14"/>
              </w:rPr>
              <w:t>5 500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22 000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3 800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15 200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14"/>
              </w:rPr>
              <w:t>7 500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35 625</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6 000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28 800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sz w:val="14"/>
              </w:rPr>
              <w:t>8 000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42 400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5 000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25 000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sz w:val="14"/>
              </w:rPr>
              <w:t>20 000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110 000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11 000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60 450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14"/>
              </w:rPr>
              <w:t>2 000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12 400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1 700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11 050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sz w:val="14"/>
              </w:rPr>
              <w:t>25 000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137 500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22 500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118 000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14"/>
              </w:rPr>
              <w:t>748 000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2 079 925</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632 000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1 905 000</w:t>
            </w:r>
          </w:p>
        </w:tc>
      </w:tr>
    </w:tbl>
    <w:p>
      <w:pPr>
        <w:bidi w:val="0"/>
      </w:pPr>
      <w:r>
        <w:rPr>
          <w:rFonts w:ascii="Tahoma" w:hAnsi="Tahoma" w:cs="Tahoma" w:eastAsia="Tahoma"/>
        </w:rPr>
        <w:t/>
      </w:r>
    </w:p>
    <w:p>
      <w:pPr>
        <w:pStyle w:val="42"/>
        <w:ind w:right="-60"/>
        <w:bidi w:val="0"/>
      </w:pPr>
      <w:r>
        <w:t/>
      </w:r>
    </w:p>
    <w:p>
      <w:pPr>
        <w:bidi w:val="0"/>
      </w:pPr>
      <w:r>
        <w:rPr>
          <w:rFonts w:ascii="Tahoma" w:hAnsi="Tahoma" w:cs="Tahoma" w:eastAsia="Tahoma"/>
        </w:rPr>
        <w:t/>
      </w:r>
    </w:p>
    <w:p>
      <w:r>
        <w:br w:type="page"/>
      </w:r>
    </w:p>
    <w:p>
      <w:pPr>
        <w:bidi w:val="0"/>
      </w:pPr>
      <w:r>
        <w:rPr>
          <w:rFonts w:ascii="Tahoma" w:hAnsi="Tahoma" w:cs="Tahoma" w:eastAsia="Tahoma"/>
          <w:b/>
          <w:sz w:val="20"/>
        </w:rPr>
        <w:t/>
      </w:r>
    </w:p>
    <w:p>
      <w:pPr>
        <w:pStyle w:val="42"/>
        <w:ind w:right="-60"/>
        <w:bidi w:val="0"/>
      </w:pPr>
      <w:r>
        <w:rPr>
          <w:b/>
          <w:sz w:val="20"/>
        </w:rPr>
        <w:t>PRELIMINARY AREA ESTIMATE OF SUMMER CROPS AND SIXTH PRODUCTION FORECAST FOR WINTER CROPS/</w:t>
      </w:r>
      <w:r>
        <w:br/>
      </w:r>
      <w:r>
        <w:rPr>
          <w:b/>
          <w:sz w:val="20"/>
        </w:rPr>
        <w:t>VOORLOPIGE OPPERVLAKSKATTING VIR SOMERGEWASSE EN SESDE PRODUKSIESKATTING VIR WINTERGEWASSE</w:t>
      </w:r>
    </w:p>
    <w:p>
      <w:pPr>
        <w:pStyle w:val="42"/>
        <w:bidi w:val="0"/>
      </w:pPr>
      <w:r>
        <w:rPr>
          <w:b/>
          <w:sz w:val="20"/>
        </w:rPr>
        <w:t>27 JANUARY / JANUARIE 2009</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575"/>
        <w:gridCol w:w="360"/>
        <w:gridCol w:w="7920"/>
      </w:tblGrid>
      <w:tr>
        <w:tc>
          <w:tcPr>
            <w:tcW w:w="7580" w:type="dxa"/>
            <w:shd w:val="clear" w:color="auto" w:fill="FFFFFF"/>
          </w:tcPr>
          <w:p>
            <w:r>
              <w:br w:type="page"/>
            </w:r>
          </w:p>
          <w:p>
            <w:pPr>
              <w:jc w:val="both"/>
              <w:ind w:left="75" w:right="75"/>
              <w:bidi w:val="0"/>
              <w:spacing w:after="135"/>
            </w:pPr>
            <w:r>
              <w:rPr>
                <w:rFonts w:ascii="Tahoma" w:hAnsi="Tahoma" w:cs="Tahoma" w:eastAsia="Tahoma"/>
                <w:b/>
                <w:u w:val="single"/>
                <w:sz w:val="16"/>
              </w:rPr>
              <w:t>Summer field crops – 2008/09 production season</w:t>
            </w:r>
          </w:p>
          <w:p>
            <w:pPr>
              <w:ind w:right="-795" w:firstLine="75"/>
              <w:bidi w:val="0"/>
              <w:spacing w:after="135"/>
              <w:tabs>
                <w:tab w:val="clear" w:pos="-2130"/>
                <w:tab w:val="clear" w:pos="-1410"/>
                <w:tab w:val="left" w:pos="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u w:val="single"/>
                <w:sz w:val="16"/>
              </w:rPr>
              <w:t>The preliminary area estimate is based on inputs at the middle of January 2009 from:</w:t>
            </w:r>
          </w:p>
          <w:p>
            <w:pPr>
              <w:ind w:right="-795"/>
              <w:bidi w:val="0"/>
              <w:spacing w:after="45"/>
              <w:tabs>
                <w:tab w:val="clear" w:pos="-2130"/>
                <w:tab w:val="clear" w:pos="-1410"/>
                <w:tab w:val="clear" w:pos="0"/>
                <w:tab w:val="clear" w:pos="495"/>
                <w:tab w:val="clear" w:pos="720"/>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numPr>
                <w:ilvl w:val="0"/>
                <w:numId w:val="1"/>
              </w:numPr>
            </w:pPr>
            <w:r/>
            <w:r>
              <w:rPr>
                <w:rFonts w:ascii="Tahoma" w:hAnsi="Tahoma" w:cs="Tahoma" w:eastAsia="Tahoma"/>
                <w:sz w:val="16"/>
              </w:rPr>
              <w:t>Department of Agriculture: sample of producers; and</w:t>
            </w:r>
          </w:p>
          <w:p>
            <w:pPr>
              <w:ind w:right="-795"/>
              <w:bidi w:val="0"/>
              <w:spacing w:after="135"/>
              <w:tabs>
                <w:tab w:val="clear" w:pos="-2130"/>
                <w:tab w:val="clear" w:pos="-1410"/>
                <w:tab w:val="clear" w:pos="0"/>
                <w:tab w:val="clear" w:pos="495"/>
                <w:tab w:val="clear" w:pos="720"/>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numPr>
                <w:ilvl w:val="0"/>
                <w:numId w:val="1"/>
              </w:numPr>
            </w:pPr>
            <w:r/>
            <w:r>
              <w:rPr>
                <w:rFonts w:ascii="Tahoma" w:hAnsi="Tahoma" w:cs="Tahoma" w:eastAsia="Tahoma"/>
                <w:sz w:val="16"/>
              </w:rPr>
              <w:t>Provincial Departments of Agriculture: representatives.</w:t>
            </w:r>
          </w:p>
          <w:p>
            <w:pPr>
              <w:jc w:val="both"/>
              <w:ind w:left="90" w:right="90"/>
              <w:bidi w:val="0"/>
              <w:spacing w:after="135"/>
            </w:pPr>
            <w:r>
              <w:rPr>
                <w:rFonts w:ascii="Tahoma" w:hAnsi="Tahoma" w:cs="Tahoma" w:eastAsia="Tahoma"/>
                <w:b/>
                <w:u w:val="single"/>
                <w:sz w:val="16"/>
              </w:rPr>
              <w:t>Commercial maize</w:t>
            </w:r>
            <w:r>
              <w:rPr>
                <w:rFonts w:ascii="Tahoma" w:hAnsi="Tahoma" w:cs="Tahoma" w:eastAsia="Tahoma"/>
                <w:sz w:val="16"/>
              </w:rPr>
              <w:t>: The preliminary area estimate for maize is 2,596 mill. ha, which is 7,25% or 203  000 ha less than the 2,799 mill. ha planted for the previous season, and 1,33% more than the intentions to plant figure of 2,562 mill. ha released during October 2008.</w:t>
            </w:r>
          </w:p>
          <w:p>
            <w:pPr>
              <w:jc w:val="both"/>
              <w:ind w:left="90" w:right="90"/>
              <w:bidi w:val="0"/>
              <w:spacing w:after="135"/>
            </w:pPr>
            <w:r>
              <w:rPr>
                <w:rFonts w:ascii="Tahoma" w:hAnsi="Tahoma" w:cs="Tahoma" w:eastAsia="Tahoma"/>
                <w:sz w:val="16"/>
              </w:rPr>
              <w:t>The area estimate for white maize is 1,598 mill. ha, which represents a decrease of 7,97% or 138  500 ha compared to the 1,737 mill. ha planted last season.  In the case of yellow maize the area estimate is 997  500 ha, 6,07% or 64  500 ha less than the 1,062 mill. ha planted last season.</w:t>
            </w:r>
          </w:p>
          <w:p>
            <w:pPr>
              <w:jc w:val="both"/>
              <w:ind w:left="90" w:right="90"/>
              <w:bidi w:val="0"/>
              <w:spacing w:after="135"/>
            </w:pPr>
            <w:r>
              <w:rPr>
                <w:rFonts w:ascii="Tahoma" w:hAnsi="Tahoma" w:cs="Tahoma" w:eastAsia="Tahoma"/>
                <w:sz w:val="16"/>
              </w:rPr>
              <w:t>The majority of South Africa's maize is planted in the Free State, North West and Mpumalanga Provinces.  The expected plantings of maize in the Free State are 1,086 mill. ha - a decrease of 7,22% in comparison with 1,170 mill. ha in 2007/08.  The expected plantings of maize in North West also decreased by 8,97%, from 780  000 ha to 710  000 ha, and in Mpumalanga by 4,44%, from 518  000 ha to 495  000 ha, compared to the plantings in the 2007/08 season.</w:t>
            </w:r>
          </w:p>
          <w:p>
            <w:pPr>
              <w:jc w:val="both"/>
              <w:ind w:left="90" w:right="90"/>
              <w:bidi w:val="0"/>
              <w:spacing w:after="135"/>
            </w:pPr>
            <w:r>
              <w:rPr>
                <w:rFonts w:ascii="Tahoma" w:hAnsi="Tahoma" w:cs="Tahoma" w:eastAsia="Tahoma"/>
                <w:b/>
                <w:u w:val="single"/>
                <w:sz w:val="16"/>
              </w:rPr>
              <w:t>Sunflower seed</w:t>
            </w:r>
            <w:r>
              <w:rPr>
                <w:rFonts w:ascii="Tahoma" w:hAnsi="Tahoma" w:cs="Tahoma" w:eastAsia="Tahoma"/>
                <w:sz w:val="16"/>
              </w:rPr>
              <w:t>: The preliminary area estimate for sunflower seed is 600  000 ha, which is about 6,33% more than the 564  300 ha planted the previous season.</w:t>
            </w:r>
          </w:p>
          <w:p>
            <w:pPr>
              <w:jc w:val="both"/>
              <w:ind w:left="90" w:right="90"/>
              <w:bidi w:val="0"/>
              <w:spacing w:after="135"/>
            </w:pPr>
            <w:r>
              <w:rPr>
                <w:rFonts w:ascii="Tahoma" w:hAnsi="Tahoma" w:cs="Tahoma" w:eastAsia="Tahoma"/>
                <w:b/>
                <w:u w:val="single"/>
                <w:sz w:val="16"/>
              </w:rPr>
              <w:t>Other crops</w:t>
            </w:r>
            <w:r>
              <w:rPr>
                <w:rFonts w:ascii="Tahoma" w:hAnsi="Tahoma" w:cs="Tahoma" w:eastAsia="Tahoma"/>
                <w:sz w:val="16"/>
              </w:rPr>
              <w:t xml:space="preserve">: It is estimated that 198  000 ha have been planted to </w:t>
            </w:r>
            <w:r>
              <w:rPr>
                <w:rFonts w:ascii="Tahoma" w:hAnsi="Tahoma" w:cs="Tahoma" w:eastAsia="Tahoma"/>
                <w:b/>
                <w:sz w:val="16"/>
              </w:rPr>
              <w:t>soya-beans</w:t>
            </w:r>
            <w:r>
              <w:rPr>
                <w:rFonts w:ascii="Tahoma" w:hAnsi="Tahoma" w:cs="Tahoma" w:eastAsia="Tahoma"/>
                <w:sz w:val="16"/>
              </w:rPr>
              <w:t>, which represents an increase of 19,71% compared to the 165  400 ha planted last season.</w:t>
            </w:r>
          </w:p>
          <w:p>
            <w:pPr>
              <w:jc w:val="both"/>
              <w:ind w:left="90" w:right="90"/>
              <w:bidi w:val="0"/>
              <w:spacing w:after="135"/>
            </w:pPr>
            <w:r>
              <w:rPr>
                <w:rFonts w:ascii="Tahoma" w:hAnsi="Tahoma" w:cs="Tahoma" w:eastAsia="Tahoma"/>
                <w:sz w:val="16"/>
              </w:rPr>
              <w:t xml:space="preserve">For </w:t>
            </w:r>
            <w:r>
              <w:rPr>
                <w:rFonts w:ascii="Tahoma" w:hAnsi="Tahoma" w:cs="Tahoma" w:eastAsia="Tahoma"/>
                <w:b/>
                <w:sz w:val="16"/>
              </w:rPr>
              <w:t>groundnuts</w:t>
            </w:r>
            <w:r>
              <w:rPr>
                <w:rFonts w:ascii="Tahoma" w:hAnsi="Tahoma" w:cs="Tahoma" w:eastAsia="Tahoma"/>
                <w:sz w:val="16"/>
              </w:rPr>
              <w:t xml:space="preserve"> the area estimate is 50  450 ha, which is 6,92% less than the 54  200 ha planted for the previous season.</w:t>
            </w:r>
          </w:p>
          <w:p>
            <w:pPr>
              <w:jc w:val="both"/>
              <w:ind w:left="90" w:right="90"/>
              <w:bidi w:val="0"/>
              <w:spacing w:after="135"/>
            </w:pPr>
            <w:r>
              <w:rPr>
                <w:rFonts w:ascii="Tahoma" w:hAnsi="Tahoma" w:cs="Tahoma" w:eastAsia="Tahoma"/>
                <w:sz w:val="16"/>
              </w:rPr>
              <w:t xml:space="preserve">The area estimate for </w:t>
            </w:r>
            <w:r>
              <w:rPr>
                <w:rFonts w:ascii="Tahoma" w:hAnsi="Tahoma" w:cs="Tahoma" w:eastAsia="Tahoma"/>
                <w:b/>
                <w:sz w:val="16"/>
              </w:rPr>
              <w:t>sorghum</w:t>
            </w:r>
            <w:r>
              <w:rPr>
                <w:rFonts w:ascii="Tahoma" w:hAnsi="Tahoma" w:cs="Tahoma" w:eastAsia="Tahoma"/>
                <w:sz w:val="16"/>
              </w:rPr>
              <w:t xml:space="preserve"> decreased slightly by 0,23%, from 86  800 ha to 86  600 ha against the previous season.</w:t>
            </w:r>
          </w:p>
          <w:p>
            <w:pPr>
              <w:jc w:val="both"/>
              <w:ind w:left="90" w:right="90"/>
              <w:bidi w:val="0"/>
              <w:spacing w:after="135"/>
            </w:pPr>
            <w:r>
              <w:rPr>
                <w:rFonts w:ascii="Tahoma" w:hAnsi="Tahoma" w:cs="Tahoma" w:eastAsia="Tahoma"/>
                <w:sz w:val="16"/>
              </w:rPr>
              <w:t xml:space="preserve">In the case of </w:t>
            </w:r>
            <w:r>
              <w:rPr>
                <w:rFonts w:ascii="Tahoma" w:hAnsi="Tahoma" w:cs="Tahoma" w:eastAsia="Tahoma"/>
                <w:b/>
                <w:sz w:val="16"/>
              </w:rPr>
              <w:t>dry beans</w:t>
            </w:r>
            <w:r>
              <w:rPr>
                <w:rFonts w:ascii="Tahoma" w:hAnsi="Tahoma" w:cs="Tahoma" w:eastAsia="Tahoma"/>
                <w:sz w:val="16"/>
              </w:rPr>
              <w:t xml:space="preserve"> the area estimate is 46  200 ha or 5,48% more than the 43  800 ha planted the previous season.</w:t>
            </w:r>
          </w:p>
          <w:p>
            <w:pPr>
              <w:jc w:val="both"/>
              <w:ind w:left="90" w:right="90"/>
              <w:bidi w:val="0"/>
              <w:spacing w:after="135"/>
            </w:pPr>
            <w:r>
              <w:rPr>
                <w:rFonts w:ascii="Tahoma" w:hAnsi="Tahoma" w:cs="Tahoma" w:eastAsia="Tahoma"/>
                <w:b/>
                <w:sz w:val="16"/>
              </w:rPr>
              <w:t>Please note that the revised area estimate and first production forecast for summer field crops for the 2008/09 production season will be released on 24 February 2009.</w:t>
            </w:r>
          </w:p>
        </w:tc>
        <w:tc>
          <w:tcPr>
            <w:tcW w:w="360" w:type="dxa"/>
            <w:shd w:val="clear" w:color="auto" w:fill="FFFFFF"/>
          </w:tcPr>
          <w:p>
            <w:pPr>
              <w:jc w:val="both"/>
              <w:ind w:left="90" w:right="90"/>
              <w:bidi w:val="0"/>
              <w:spacing w:after="135"/>
            </w:pPr>
            <w:r>
              <w:rPr>
                <w:rFonts w:ascii="Tahoma" w:hAnsi="Tahoma" w:cs="Tahoma" w:eastAsia="Tahoma"/>
              </w:rPr>
              <w:t/>
            </w:r>
          </w:p>
          <w:p>
            <w:pPr>
              <w:jc w:val="both"/>
              <w:bidi w:val="0"/>
              <w:spacing w:after="135"/>
            </w:pPr>
            <w:r>
              <w:rPr>
                <w:rFonts w:ascii="Tahoma" w:hAnsi="Tahoma" w:cs="Tahoma" w:eastAsia="Tahoma"/>
              </w:rPr>
              <w:t/>
            </w:r>
          </w:p>
        </w:tc>
        <w:tc>
          <w:tcPr>
            <w:tcW w:w="7920" w:type="dxa"/>
            <w:shd w:val="clear" w:color="auto" w:fill="FFFFFF"/>
          </w:tcPr>
          <w:p>
            <w:pPr>
              <w:pStyle w:val="16"/>
              <w:jc w:val="both"/>
              <w:ind w:left="75" w:right="75"/>
              <w:bidi w:val="0"/>
              <w:spacing w:after="135"/>
              <w:tabs>
                <w:tab w:val="left" w:pos="6645"/>
              </w:tabs>
            </w:pPr>
            <w:r>
              <w:rPr>
                <w:rFonts w:ascii="Tahoma" w:hAnsi="Tahoma" w:cs="Tahoma" w:eastAsia="Tahoma"/>
                <w:b/>
                <w:u w:val="single"/>
                <w:sz w:val="16"/>
              </w:rPr>
              <w:t>Somergewasse – 2008/09 produksie-seisoen</w:t>
            </w:r>
          </w:p>
          <w:p>
            <w:pPr>
              <w:pStyle w:val="16"/>
              <w:jc w:val="both"/>
              <w:ind w:left="75" w:right="75"/>
              <w:bidi w:val="0"/>
              <w:tabs>
                <w:tab w:val="left" w:pos="6645"/>
              </w:tabs>
            </w:pPr>
            <w:r>
              <w:rPr>
                <w:rFonts w:ascii="Tahoma" w:hAnsi="Tahoma" w:cs="Tahoma" w:eastAsia="Tahoma"/>
                <w:b/>
                <w:u w:val="single"/>
                <w:sz w:val="16"/>
              </w:rPr>
              <w:t>Die voorlopige oppervlakskatting is gebaseer op insette soos teen die middel van Januarie 2009 van:</w:t>
            </w:r>
          </w:p>
          <w:p>
            <w:pPr>
              <w:ind w:right="-795"/>
              <w:bidi w:val="0"/>
              <w:tabs>
                <w:tab w:val="clear" w:pos="-2130"/>
                <w:tab w:val="clear" w:pos="-1410"/>
                <w:tab w:val="clear" w:pos="0"/>
                <w:tab w:val="clear" w:pos="495"/>
                <w:tab w:val="clear" w:pos="720"/>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numPr>
                <w:ilvl w:val="0"/>
                <w:numId w:val="2"/>
              </w:numPr>
            </w:pPr>
            <w:r/>
            <w:r>
              <w:rPr>
                <w:rFonts w:ascii="Tahoma" w:hAnsi="Tahoma" w:cs="Tahoma" w:eastAsia="Tahoma"/>
                <w:sz w:val="16"/>
              </w:rPr>
              <w:t>Departement van Landbou: steekproef van produsente; en</w:t>
            </w:r>
          </w:p>
          <w:p>
            <w:pPr>
              <w:ind w:right="-795"/>
              <w:bidi w:val="0"/>
              <w:spacing w:after="105"/>
              <w:tabs>
                <w:tab w:val="clear" w:pos="-2130"/>
                <w:tab w:val="clear" w:pos="-1410"/>
                <w:tab w:val="clear" w:pos="0"/>
                <w:tab w:val="clear" w:pos="495"/>
                <w:tab w:val="clear" w:pos="720"/>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numPr>
                <w:ilvl w:val="0"/>
                <w:numId w:val="2"/>
              </w:numPr>
            </w:pPr>
            <w:r/>
            <w:r>
              <w:rPr>
                <w:rFonts w:ascii="Tahoma" w:hAnsi="Tahoma" w:cs="Tahoma" w:eastAsia="Tahoma"/>
                <w:sz w:val="16"/>
              </w:rPr>
              <w:t>Provinsiale Departemente van Landbou: verteenwoordigers.</w:t>
            </w:r>
          </w:p>
          <w:p>
            <w:pPr>
              <w:jc w:val="both"/>
              <w:ind w:left="90" w:right="90"/>
              <w:bidi w:val="0"/>
              <w:spacing w:after="135"/>
            </w:pPr>
            <w:r>
              <w:rPr>
                <w:rFonts w:ascii="Tahoma" w:hAnsi="Tahoma" w:cs="Tahoma" w:eastAsia="Tahoma"/>
                <w:b/>
                <w:u w:val="single"/>
                <w:sz w:val="16"/>
              </w:rPr>
              <w:t>Kommersiële mielies:</w:t>
            </w:r>
            <w:r>
              <w:rPr>
                <w:rFonts w:ascii="Tahoma" w:hAnsi="Tahoma" w:cs="Tahoma" w:eastAsia="Tahoma"/>
                <w:sz w:val="16"/>
              </w:rPr>
              <w:t xml:space="preserve"> Die voorlopige skatting van die oppervlakte onder mielies beloop </w:t>
            </w:r>
            <w:r>
              <w:rPr>
                <w:rFonts w:ascii="Tahoma" w:hAnsi="Tahoma" w:cs="Tahoma" w:eastAsia="Tahoma"/>
                <w:b/>
                <w:sz w:val="16"/>
              </w:rPr>
              <w:t>2,596</w:t>
            </w:r>
            <w:r>
              <w:rPr>
                <w:rFonts w:ascii="Tahoma" w:hAnsi="Tahoma" w:cs="Tahoma" w:eastAsia="Tahoma"/>
                <w:sz w:val="16"/>
              </w:rPr>
              <w:t xml:space="preserve"> milj.</w:t>
            </w:r>
            <w:r>
              <w:rPr>
                <w:rFonts w:ascii="Tahoma" w:hAnsi="Tahoma" w:cs="Tahoma" w:eastAsia="Tahoma"/>
                <w:b/>
                <w:sz w:val="16"/>
              </w:rPr>
              <w:t xml:space="preserve"> </w:t>
            </w:r>
            <w:r>
              <w:rPr>
                <w:rFonts w:ascii="Tahoma" w:hAnsi="Tahoma" w:cs="Tahoma" w:eastAsia="Tahoma"/>
                <w:sz w:val="16"/>
              </w:rPr>
              <w:t>ha, wat 7,25% of 203  000 ha minder is as die 2,799 milj. ha wat verlede seisoen aangeplant is, en 1,33% meer as die voornemens om te plant syfer van 2,562 milj. ha soos vrygestel gedurende Oktober 2008.</w:t>
            </w:r>
          </w:p>
          <w:p>
            <w:pPr>
              <w:jc w:val="both"/>
              <w:ind w:left="90" w:right="-105"/>
              <w:bidi w:val="0"/>
              <w:spacing w:after="135"/>
            </w:pPr>
            <w:r>
              <w:rPr>
                <w:rFonts w:ascii="Tahoma" w:hAnsi="Tahoma" w:cs="Tahoma" w:eastAsia="Tahoma"/>
                <w:sz w:val="16"/>
              </w:rPr>
              <w:t>Die oppervlak onder witmielies is 1,598 milj. ha, wat ‘n afname van 7,97% of 138  500 ha verteenwoordig vergeleke met die 1,737 milj. ha die vorige seisoen. In die geval van geelmielies is die oppervlak-</w:t>
            </w:r>
            <w:r>
              <w:br/>
            </w:r>
            <w:r>
              <w:rPr>
                <w:rFonts w:ascii="Tahoma" w:hAnsi="Tahoma" w:cs="Tahoma" w:eastAsia="Tahoma"/>
                <w:sz w:val="16"/>
              </w:rPr>
              <w:t>skatting 997  500 ha, 6,07% of 64  500 ha minder as die 1,062 milj. ha geplant die vorige seisoen.</w:t>
            </w:r>
          </w:p>
          <w:p>
            <w:pPr>
              <w:jc w:val="both"/>
              <w:ind w:left="90" w:right="90"/>
              <w:bidi w:val="0"/>
              <w:spacing w:after="135"/>
              <w:tabs>
                <w:tab w:val="left" w:pos="6645"/>
              </w:tabs>
            </w:pPr>
            <w:r>
              <w:rPr>
                <w:rFonts w:ascii="Tahoma" w:hAnsi="Tahoma" w:cs="Tahoma" w:eastAsia="Tahoma"/>
                <w:sz w:val="16"/>
              </w:rPr>
              <w:t>Die meerderheid van Suid-Afrika se mielies word in die Vrystaat, Noordwes en Mpumalanga Provinsies verbou.  Verwagte mielie-aanplantings in die Vrystaat beloop 1,086 milj. ha – ’n afname van 7,22% in vergelyking met 1,170 milj. ha in 2007/08.  Die verwagte aanplantings van mielies in Noordwes toon ook ’n afname van 8,97%, van 780  000 ha tot 710  000 ha, en in Mpumalanga met 4,44%, van 518  000 ha tot 495  000 ha, in vergelyking met die aanplantings in die 2007/08 seisoen.</w:t>
            </w:r>
          </w:p>
          <w:p>
            <w:pPr>
              <w:jc w:val="both"/>
              <w:ind w:left="90" w:right="90"/>
              <w:bidi w:val="0"/>
              <w:spacing w:after="135"/>
              <w:tabs>
                <w:tab w:val="left" w:pos="6645"/>
              </w:tabs>
            </w:pPr>
            <w:r>
              <w:rPr>
                <w:rFonts w:ascii="Tahoma" w:hAnsi="Tahoma" w:cs="Tahoma" w:eastAsia="Tahoma"/>
                <w:b/>
                <w:u w:val="single"/>
                <w:sz w:val="16"/>
              </w:rPr>
              <w:t>Sonneblomsaad</w:t>
            </w:r>
            <w:r>
              <w:rPr>
                <w:rFonts w:ascii="Tahoma" w:hAnsi="Tahoma" w:cs="Tahoma" w:eastAsia="Tahoma"/>
                <w:b/>
                <w:sz w:val="16"/>
              </w:rPr>
              <w:t>:</w:t>
            </w:r>
            <w:r>
              <w:rPr>
                <w:rFonts w:ascii="Tahoma" w:hAnsi="Tahoma" w:cs="Tahoma" w:eastAsia="Tahoma"/>
                <w:sz w:val="16"/>
              </w:rPr>
              <w:t xml:space="preserve"> Die voorlopige oppervlakskatting vir sonneblomsaad is 600  000 ha, wat omtrent 6,33% meer is as die 564  300 ha aangeplant die vorige seisoen.</w:t>
            </w:r>
          </w:p>
          <w:p>
            <w:pPr>
              <w:jc w:val="both"/>
              <w:ind w:left="90" w:right="90"/>
              <w:bidi w:val="0"/>
              <w:spacing w:after="135"/>
              <w:tabs>
                <w:tab w:val="left" w:pos="6645"/>
              </w:tabs>
            </w:pPr>
            <w:r>
              <w:rPr>
                <w:rFonts w:ascii="Tahoma" w:hAnsi="Tahoma" w:cs="Tahoma" w:eastAsia="Tahoma"/>
                <w:b/>
                <w:u w:val="single"/>
                <w:sz w:val="16"/>
              </w:rPr>
              <w:t>Ander gewasse:</w:t>
            </w:r>
            <w:r>
              <w:rPr>
                <w:rFonts w:ascii="Tahoma" w:hAnsi="Tahoma" w:cs="Tahoma" w:eastAsia="Tahoma"/>
                <w:sz w:val="16"/>
              </w:rPr>
              <w:t xml:space="preserve"> Die geskatte oppervlakte beplant met </w:t>
            </w:r>
            <w:r>
              <w:rPr>
                <w:rFonts w:ascii="Tahoma" w:hAnsi="Tahoma" w:cs="Tahoma" w:eastAsia="Tahoma"/>
                <w:b/>
                <w:sz w:val="16"/>
              </w:rPr>
              <w:t>sojabone</w:t>
            </w:r>
            <w:r>
              <w:rPr>
                <w:rFonts w:ascii="Tahoma" w:hAnsi="Tahoma" w:cs="Tahoma" w:eastAsia="Tahoma"/>
                <w:sz w:val="16"/>
              </w:rPr>
              <w:t xml:space="preserve"> is 198  000 ha, wat ’n toename van 19,71% verteenwoordig vergeleke met die 165  400 ha geplant die vorige seisoen.</w:t>
            </w:r>
          </w:p>
          <w:p>
            <w:pPr>
              <w:jc w:val="both"/>
              <w:ind w:left="90" w:right="90"/>
              <w:bidi w:val="0"/>
              <w:spacing w:after="135"/>
              <w:tabs>
                <w:tab w:val="left" w:pos="6645"/>
              </w:tabs>
            </w:pPr>
            <w:r>
              <w:rPr>
                <w:rFonts w:ascii="Tahoma" w:hAnsi="Tahoma" w:cs="Tahoma" w:eastAsia="Tahoma"/>
                <w:sz w:val="16"/>
              </w:rPr>
              <w:t xml:space="preserve">Vir </w:t>
            </w:r>
            <w:r>
              <w:rPr>
                <w:rFonts w:ascii="Tahoma" w:hAnsi="Tahoma" w:cs="Tahoma" w:eastAsia="Tahoma"/>
                <w:b/>
                <w:sz w:val="16"/>
              </w:rPr>
              <w:t>grondbone</w:t>
            </w:r>
            <w:r>
              <w:rPr>
                <w:rFonts w:ascii="Tahoma" w:hAnsi="Tahoma" w:cs="Tahoma" w:eastAsia="Tahoma"/>
                <w:sz w:val="16"/>
              </w:rPr>
              <w:t xml:space="preserve"> is die oppervlakskatting 50  450 ha, wat 6,92% minder is as die 54  200 ha geplant vir die vorige seisoen.</w:t>
            </w:r>
          </w:p>
          <w:p>
            <w:pPr>
              <w:jc w:val="both"/>
              <w:ind w:left="90" w:right="90"/>
              <w:bidi w:val="0"/>
              <w:spacing w:after="135"/>
              <w:tabs>
                <w:tab w:val="left" w:pos="6645"/>
              </w:tabs>
            </w:pPr>
            <w:r>
              <w:rPr>
                <w:rFonts w:ascii="Tahoma" w:hAnsi="Tahoma" w:cs="Tahoma" w:eastAsia="Tahoma"/>
                <w:sz w:val="16"/>
              </w:rPr>
              <w:t xml:space="preserve">Die oppervlakskatting vir </w:t>
            </w:r>
            <w:r>
              <w:rPr>
                <w:rFonts w:ascii="Tahoma" w:hAnsi="Tahoma" w:cs="Tahoma" w:eastAsia="Tahoma"/>
                <w:b/>
                <w:sz w:val="16"/>
              </w:rPr>
              <w:t>sorghum</w:t>
            </w:r>
            <w:r>
              <w:rPr>
                <w:rFonts w:ascii="Tahoma" w:hAnsi="Tahoma" w:cs="Tahoma" w:eastAsia="Tahoma"/>
                <w:sz w:val="16"/>
              </w:rPr>
              <w:t xml:space="preserve"> het effens gedaal met 0,23%, van 86  800 ha tot 86  600 ha teenoor die vorige seisoen.</w:t>
            </w:r>
          </w:p>
          <w:p>
            <w:pPr>
              <w:jc w:val="both"/>
              <w:ind w:left="90" w:right="90"/>
              <w:bidi w:val="0"/>
              <w:spacing w:after="135"/>
              <w:tabs>
                <w:tab w:val="left" w:pos="6645"/>
              </w:tabs>
            </w:pPr>
            <w:r>
              <w:rPr>
                <w:rFonts w:ascii="Tahoma" w:hAnsi="Tahoma" w:cs="Tahoma" w:eastAsia="Tahoma"/>
                <w:sz w:val="16"/>
              </w:rPr>
              <w:t xml:space="preserve">In die geval van </w:t>
            </w:r>
            <w:r>
              <w:rPr>
                <w:rFonts w:ascii="Tahoma" w:hAnsi="Tahoma" w:cs="Tahoma" w:eastAsia="Tahoma"/>
                <w:b/>
                <w:sz w:val="16"/>
              </w:rPr>
              <w:t>droëbone</w:t>
            </w:r>
            <w:r>
              <w:rPr>
                <w:rFonts w:ascii="Tahoma" w:hAnsi="Tahoma" w:cs="Tahoma" w:eastAsia="Tahoma"/>
                <w:sz w:val="16"/>
              </w:rPr>
              <w:t xml:space="preserve"> is die geskatte oppervlakte beplant 46  200 ha of 5,48% meer as die 43  800 ha die vorige seisoen geplant.</w:t>
            </w:r>
          </w:p>
          <w:p>
            <w:pPr>
              <w:jc w:val="both"/>
              <w:ind w:left="90" w:right="90"/>
              <w:bidi w:val="0"/>
              <w:spacing w:after="135"/>
              <w:tabs>
                <w:tab w:val="left" w:pos="6645"/>
              </w:tabs>
            </w:pPr>
            <w:r>
              <w:rPr>
                <w:rFonts w:ascii="Tahoma" w:hAnsi="Tahoma" w:cs="Tahoma" w:eastAsia="Tahoma"/>
                <w:b/>
                <w:sz w:val="16"/>
              </w:rPr>
              <w:t>Neem asseblief kennis dat die hersiene oppervlak- en eerste produksieskatting vir somergewasse vir 2008/09, op 24  Februarie 2009 vrygestel sal word.</w:t>
            </w:r>
          </w:p>
        </w:tc>
      </w:tr>
    </w:tbl>
    <w:p>
      <w:pPr>
        <w:bidi w:val="0"/>
      </w:pPr>
      <w:r>
        <w:rPr>
          <w:rFonts w:ascii="Tahoma" w:hAnsi="Tahoma" w:cs="Tahoma" w:eastAsia="Tahoma"/>
        </w:rPr>
        <w:t/>
      </w:r>
    </w:p>
    <w:p>
      <w:r>
        <w:br w:type="page"/>
      </w:r>
    </w:p>
    <w:p>
      <w:pPr>
        <w:bidi w:val="0"/>
      </w:pPr>
      <w:r>
        <w:t/>
      </w:r>
    </w:p>
    <w:p>
      <w:pPr>
        <w:bidi w:val="0"/>
      </w:pPr>
      <w:r>
        <w:rPr>
          <w:rFonts w:ascii="Tahoma" w:hAnsi="Tahoma" w:cs="Tahoma" w:eastAsia="Tahoma"/>
        </w:rPr>
        <w:t/>
      </w:r>
    </w:p>
    <w:tbl>
      <w:tblPr>
        <w:tblW w:w="16150" w:type="dxa"/>
        <w:tblLayout w:type="fixed"/>
        <w:tblCellMar>
          <w:top w:w="0" w:type="dxa"/>
          <w:left w:w="0" w:type="dxa"/>
          <w:bottom w:w="0" w:type="dxa"/>
          <w:right w:w="0" w:type="dxa"/>
        </w:tblCellMar>
        <w:tblInd w:w="-180" w:type="dxa"/>
      </w:tblPr>
      <w:tblGrid>
        <w:gridCol w:w="7665"/>
        <w:gridCol w:w="585"/>
        <w:gridCol w:w="7860"/>
      </w:tblGrid>
      <w:tr>
        <w:tc>
          <w:tcPr>
            <w:tcW w:w="766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before="75" w:after="120"/>
            </w:pPr>
            <w:r>
              <w:rPr>
                <w:rFonts w:ascii="Tahoma" w:hAnsi="Tahoma" w:cs="Tahoma" w:eastAsia="Tahoma"/>
                <w:b/>
                <w:u w:val="single"/>
                <w:sz w:val="16"/>
              </w:rPr>
              <w:t>Winter cereal crops - 2008 production season</w:t>
            </w:r>
          </w:p>
          <w:p>
            <w:pPr>
              <w:jc w:val="both"/>
              <w:ind w:left="255" w:right="255"/>
              <w:bidi w:val="0"/>
              <w:spacing w:after="105"/>
            </w:pPr>
            <w:r>
              <w:rPr>
                <w:rFonts w:ascii="Tahoma" w:hAnsi="Tahoma" w:cs="Tahoma" w:eastAsia="Tahoma"/>
                <w:b/>
                <w:u w:val="single"/>
                <w:sz w:val="16"/>
              </w:rPr>
              <w:t>Wheat:</w:t>
            </w:r>
            <w:r>
              <w:rPr>
                <w:rFonts w:ascii="Tahoma" w:hAnsi="Tahoma" w:cs="Tahoma" w:eastAsia="Tahoma"/>
                <w:sz w:val="16"/>
              </w:rPr>
              <w:t xml:space="preserve">  The production forecast of wheat is 2,080 mill. tons, which is 2,86% or 57  925 tons more than the 2,022 mill. tons of the previous forecast..  The yield is 2,78 t/ha.</w:t>
            </w:r>
          </w:p>
          <w:p>
            <w:pPr>
              <w:jc w:val="both"/>
              <w:ind w:left="255"/>
              <w:bidi w:val="0"/>
              <w:spacing w:before="135" w:after="135"/>
            </w:pPr>
            <w:r>
              <w:rPr>
                <w:rFonts w:ascii="Tahoma" w:hAnsi="Tahoma" w:cs="Tahoma" w:eastAsia="Tahoma"/>
                <w:sz w:val="16"/>
              </w:rPr>
              <w:t>As most of the crop has already been harvested, some of the provincial yields were adjusted to reflect the actual production realised. The actual producer deliveries, as published by SAGIS were therefore taken into consideration.  According to the SAGIS figures, the cumulative producer deliveries of wheat for the period 1 October 2008 to 16  January  2009, is 1,966 million tons. This represents about 95  % of the South African commercial wheat crop of 2,080 million tons for the current 2008 season.</w:t>
            </w:r>
          </w:p>
          <w:p>
            <w:pPr>
              <w:jc w:val="both"/>
              <w:ind w:left="255" w:right="255"/>
              <w:bidi w:val="0"/>
              <w:spacing w:after="105"/>
            </w:pPr>
            <w:r>
              <w:rPr>
                <w:rFonts w:ascii="Tahoma" w:hAnsi="Tahoma" w:cs="Tahoma" w:eastAsia="Tahoma"/>
                <w:sz w:val="16"/>
              </w:rPr>
              <w:t xml:space="preserve">The area planted to wheat remained unchanged at 748  000 ha.  An estimated 350  000 ha or 47% is planted in the Western Cape, 280  000 ha or 37% in the Free State and 50  000 ha or 7% in the Northern Cape. </w:t>
            </w:r>
          </w:p>
          <w:p>
            <w:pPr>
              <w:jc w:val="both"/>
              <w:ind w:left="255" w:right="255"/>
              <w:bidi w:val="0"/>
              <w:spacing w:after="120"/>
            </w:pPr>
            <w:r>
              <w:rPr>
                <w:rFonts w:ascii="Tahoma" w:hAnsi="Tahoma" w:cs="Tahoma" w:eastAsia="Tahoma"/>
                <w:b/>
                <w:u w:val="single"/>
                <w:sz w:val="16"/>
              </w:rPr>
              <w:t>Other crops:</w:t>
            </w:r>
            <w:r>
              <w:rPr>
                <w:rFonts w:ascii="Tahoma" w:hAnsi="Tahoma" w:cs="Tahoma" w:eastAsia="Tahoma"/>
                <w:sz w:val="16"/>
              </w:rPr>
              <w:t xml:space="preserve"> The production forecast for malting barley is 194  399 tons, which is 2,97% or 5  600 tons more than the 188  799 tons for the previous forecast. The area planted to malting barley remained unchanged at 68  245 ha, while the expected yield is 2,85  t/ha.</w:t>
            </w:r>
          </w:p>
          <w:p>
            <w:pPr>
              <w:jc w:val="both"/>
              <w:ind w:left="255" w:right="255"/>
              <w:bidi w:val="0"/>
              <w:spacing w:after="120"/>
            </w:pPr>
            <w:r>
              <w:rPr>
                <w:rFonts w:ascii="Tahoma" w:hAnsi="Tahoma" w:cs="Tahoma" w:eastAsia="Tahoma"/>
                <w:sz w:val="16"/>
              </w:rPr>
              <w:t>The expected canola crop was decreased by 1  700 tons to 32  300 tons.  The area estimate is 34  000 ha, and the expected yield is 0,95 t/ha.</w:t>
            </w:r>
          </w:p>
          <w:p>
            <w:pPr>
              <w:jc w:val="both"/>
              <w:ind w:left="255" w:right="255"/>
              <w:bidi w:val="0"/>
              <w:spacing w:after="120"/>
            </w:pPr>
            <w:r>
              <w:rPr>
                <w:rFonts w:ascii="Tahoma" w:hAnsi="Tahoma" w:cs="Tahoma" w:eastAsia="Tahoma"/>
                <w:sz w:val="16"/>
              </w:rPr>
              <w:t>Please note that the final production forecast for winter cereals for the 2008 production season will be released on 24 February 2009.</w:t>
            </w:r>
          </w:p>
        </w:tc>
        <w:tc>
          <w:tcPr>
            <w:tcW w:w="585" w:type="dxa"/>
            <w:tcBorders>
              <w:left w:val="single" w:sz="6" w:color="036B9E"/>
              <w:top w:val="single" w:sz="6" w:color="036B9E"/>
              <w:right w:val="single" w:sz="6" w:color="000000"/>
              <w:bottom w:val="single" w:sz="6" w:color="000000"/>
            </w:tcBorders>
            <w:shd w:val="clear" w:color="auto" w:fill="FFFFFF"/>
          </w:tcPr>
          <w:p>
            <w:pPr>
              <w:jc w:val="both"/>
              <w:ind w:left="255" w:right="255"/>
              <w:bidi w:val="0"/>
              <w:spacing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86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before="75" w:after="120"/>
            </w:pPr>
            <w:r>
              <w:rPr>
                <w:rFonts w:ascii="Tahoma" w:hAnsi="Tahoma" w:cs="Tahoma" w:eastAsia="Tahoma"/>
                <w:b/>
                <w:u w:val="single"/>
                <w:sz w:val="16"/>
              </w:rPr>
              <w:t>Wintergewasse - 2008 produksie-seisoen</w:t>
            </w:r>
          </w:p>
          <w:p>
            <w:pPr>
              <w:jc w:val="both"/>
              <w:ind w:left="255" w:right="255"/>
              <w:bidi w:val="0"/>
              <w:spacing w:after="120"/>
            </w:pPr>
            <w:r>
              <w:rPr>
                <w:rFonts w:ascii="Tahoma" w:hAnsi="Tahoma" w:cs="Tahoma" w:eastAsia="Tahoma"/>
                <w:b/>
                <w:u w:val="single"/>
                <w:sz w:val="16"/>
              </w:rPr>
              <w:t>Koring:</w:t>
            </w:r>
            <w:r>
              <w:rPr>
                <w:rFonts w:ascii="Tahoma" w:hAnsi="Tahoma" w:cs="Tahoma" w:eastAsia="Tahoma"/>
                <w:sz w:val="16"/>
              </w:rPr>
              <w:t xml:space="preserve">  Die produksieskatting van koring is 2,080 milj. ton, wat 2,86% of 57  925 ton meer is as die 2,022 milj. ton van die vorige skatting.  Die opbrengs is 2,78 t/ha.</w:t>
            </w:r>
          </w:p>
          <w:p>
            <w:pPr>
              <w:jc w:val="both"/>
              <w:ind w:left="255" w:right="75"/>
              <w:bidi w:val="0"/>
              <w:spacing w:before="135" w:after="135"/>
            </w:pPr>
            <w:r>
              <w:rPr>
                <w:rFonts w:ascii="Tahoma" w:hAnsi="Tahoma" w:cs="Tahoma" w:eastAsia="Tahoma"/>
                <w:sz w:val="16"/>
              </w:rPr>
              <w:t xml:space="preserve">Aangesien die grootste gedeelte van die oes reeds gestroop is, is sommige van die provinsiale opbrengste aangepas om die werklike produksie te reflekteer. Werklike produsente-lewerings, soos gepubliseer deur SAGIS, is ook in ag geneem.  Volgens SAGIS is die kumulatiewe produsente-lewerings van koring vir die periode 1 Oktober 2008 tot 16 Januarie 2009 reeds 1,966 milj ton. Dit verteenwoordig ongeveer 95 % van die Suid-Afrikaanse kommersiële koring-oes van 2,080 milj ton vir die huidige 2008-seisoen. </w:t>
            </w:r>
          </w:p>
          <w:p>
            <w:pPr>
              <w:jc w:val="both"/>
              <w:ind w:left="255" w:right="255"/>
              <w:bidi w:val="0"/>
              <w:spacing w:after="120"/>
            </w:pPr>
            <w:r>
              <w:rPr>
                <w:rFonts w:ascii="Tahoma" w:hAnsi="Tahoma" w:cs="Tahoma" w:eastAsia="Tahoma"/>
                <w:sz w:val="16"/>
              </w:rPr>
              <w:t>Die oppervlakte beplant met koring is onveranderd gelaat op 748  000 ha.  Die beraamde oppervlakte geplant in die Wes-Kaap is 350  000 ha of 47%, die Vrystaat is 280  000 ha of 37% en 50  000 ha of 7% is in die Noord-Kaap.</w:t>
            </w:r>
          </w:p>
          <w:p>
            <w:pPr>
              <w:jc w:val="both"/>
              <w:ind w:left="255" w:right="255"/>
              <w:bidi w:val="0"/>
              <w:spacing w:after="120"/>
            </w:pPr>
            <w:r>
              <w:rPr>
                <w:rFonts w:ascii="Tahoma" w:hAnsi="Tahoma" w:cs="Tahoma" w:eastAsia="Tahoma"/>
                <w:b/>
                <w:u w:val="single"/>
                <w:sz w:val="16"/>
              </w:rPr>
              <w:t>Ander gewasse</w:t>
            </w:r>
            <w:r>
              <w:rPr>
                <w:rFonts w:ascii="Tahoma" w:hAnsi="Tahoma" w:cs="Tahoma" w:eastAsia="Tahoma"/>
                <w:sz w:val="16"/>
              </w:rPr>
              <w:t>: Die produksieskatting vir moutgars is 194  399 ton, wat 2,97% of 5  600 ton meer is as die 188  799 ton van die vorige skatting. Die oppervlakte beplant met moutgars is onveranderd gelaat op 68  245 ha, met ‘n verwagte opbrengs van 2,85 t/ha.</w:t>
            </w:r>
          </w:p>
          <w:p>
            <w:pPr>
              <w:jc w:val="both"/>
              <w:ind w:left="255" w:right="255"/>
              <w:bidi w:val="0"/>
              <w:spacing w:after="120"/>
            </w:pPr>
            <w:r>
              <w:rPr>
                <w:rFonts w:ascii="Tahoma" w:hAnsi="Tahoma" w:cs="Tahoma" w:eastAsia="Tahoma"/>
                <w:sz w:val="16"/>
              </w:rPr>
              <w:t>Die verwagte kanola-oes is afwaarts aangepas met 1  700 ton na 32  300 ton. Die oppervlakteskatting is 34  000 ha, en die verwagte opbrengs is 0,95 t/ha.</w:t>
            </w:r>
          </w:p>
          <w:p>
            <w:pPr>
              <w:jc w:val="both"/>
              <w:ind w:left="255" w:right="255"/>
              <w:bidi w:val="0"/>
              <w:spacing w:after="120"/>
              <w:tabs>
                <w:tab w:val="left" w:pos="6645"/>
              </w:tabs>
            </w:pPr>
            <w:r>
              <w:rPr>
                <w:rFonts w:ascii="Tahoma" w:hAnsi="Tahoma" w:cs="Tahoma" w:eastAsia="Tahoma"/>
                <w:sz w:val="16"/>
              </w:rPr>
              <w:t>Neem asseblief kennis dat die finale produksieskatting vir wintergewasse vir die 2008 produksieseisoen op 24 Februarie 2009 vrygestel sal word.</w:t>
            </w:r>
          </w:p>
        </w:tc>
      </w:tr>
      <w:tr>
        <w:tc>
          <w:tcPr>
            <w:tcW w:w="766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after="120"/>
              <w:tabs>
                <w:tab w:val="left" w:pos="6645"/>
              </w:tabs>
            </w:pPr>
            <w:r>
              <w:rPr>
                <w:rFonts w:ascii="Tahoma" w:hAnsi="Tahoma" w:cs="Tahoma" w:eastAsia="Tahoma"/>
              </w:rPr>
              <w:t/>
            </w:r>
          </w:p>
          <w:p>
            <w:pPr>
              <w:jc w:val="both"/>
              <w:ind w:left="255" w:right="255"/>
              <w:bidi w:val="0"/>
              <w:spacing w:after="120"/>
            </w:pPr>
            <w:r>
              <w:rPr>
                <w:rFonts w:ascii="Tahoma" w:hAnsi="Tahoma" w:cs="Tahoma" w:eastAsia="Tahoma"/>
              </w:rPr>
              <w:t/>
            </w:r>
          </w:p>
        </w:tc>
        <w:tc>
          <w:tcPr>
            <w:tcW w:w="58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after="120"/>
            </w:pPr>
            <w:r>
              <w:rPr>
                <w:rFonts w:ascii="Tahoma" w:hAnsi="Tahoma" w:cs="Tahoma" w:eastAsia="Tahoma"/>
              </w:rPr>
              <w:t/>
            </w:r>
          </w:p>
        </w:tc>
        <w:tc>
          <w:tcPr>
            <w:tcW w:w="786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after="120"/>
            </w:pPr>
            <w:r>
              <w:rPr>
                <w:rFonts w:ascii="Tahoma" w:hAnsi="Tahoma" w:cs="Tahoma" w:eastAsia="Tahoma"/>
              </w:rPr>
              <w:t/>
            </w:r>
          </w:p>
        </w:tc>
      </w:tr>
      <w:tr>
        <w:tc>
          <w:tcPr>
            <w:tcW w:w="766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before="75" w:after="120"/>
            </w:pPr>
            <w:r>
              <w:rPr>
                <w:rFonts w:ascii="Tahoma" w:hAnsi="Tahoma" w:cs="Tahoma" w:eastAsia="Tahoma"/>
                <w:sz w:val="16"/>
              </w:rPr>
              <w:t xml:space="preserve">Information is available on the internet at </w:t>
            </w:r>
            <w:hyperlink r:id="hrId3">
              <w:r>
                <w:rPr>
                  <w:rFonts w:ascii="Tahoma" w:hAnsi="Tahoma" w:cs="Tahoma" w:eastAsia="Tahoma"/>
                  <w:u w:val="single"/>
                  <w:sz w:val="16"/>
                  <w:color w:val="0000FF"/>
                </w:rPr>
                <w:t>http://www.nda.agric.za/food</w:t>
              </w:r>
            </w:hyperlink>
            <w:r>
              <w:rPr>
                <w:rFonts w:ascii="Tahoma" w:hAnsi="Tahoma" w:cs="Tahoma" w:eastAsia="Tahoma"/>
                <w:u w:val="single"/>
                <w:sz w:val="16"/>
                <w:color w:val="0000FF"/>
              </w:rPr>
              <w:t xml:space="preserve"> security issues</w:t>
            </w:r>
            <w:r>
              <w:rPr>
                <w:rFonts w:ascii="Tahoma" w:hAnsi="Tahoma" w:cs="Tahoma" w:eastAsia="Tahoma"/>
                <w:sz w:val="16"/>
              </w:rPr>
              <w:t xml:space="preserve"> or</w:t>
            </w:r>
            <w:r>
              <w:rPr>
                <w:rFonts w:ascii="Tahoma" w:hAnsi="Tahoma" w:cs="Tahoma" w:eastAsia="Tahoma"/>
                <w:u w:val="single"/>
                <w:sz w:val="16"/>
                <w:color w:val="0000FF"/>
              </w:rPr>
              <w:t xml:space="preserve"> </w:t>
            </w:r>
            <w:hyperlink r:id="hrId4">
              <w:r>
                <w:rPr>
                  <w:rFonts w:ascii="Tahoma" w:hAnsi="Tahoma" w:cs="Tahoma" w:eastAsia="Tahoma"/>
                  <w:u w:val="single"/>
                  <w:sz w:val="16"/>
                  <w:color w:val="0000FF"/>
                </w:rPr>
                <w:t>http://www.sagis.org.za</w:t>
              </w:r>
            </w:hyperlink>
            <w:r>
              <w:rPr>
                <w:rFonts w:ascii="Tahoma" w:hAnsi="Tahoma" w:cs="Tahoma" w:eastAsia="Tahoma"/>
                <w:sz w:val="16"/>
              </w:rPr>
              <w:t>, as from 14:30 on the date of the relevant meeting of the Crop Estimates Committee.</w:t>
            </w:r>
          </w:p>
        </w:tc>
        <w:tc>
          <w:tcPr>
            <w:tcW w:w="585" w:type="dxa"/>
            <w:tcBorders>
              <w:left w:val="single" w:sz="6" w:color="036B9E"/>
              <w:top w:val="single" w:sz="6" w:color="036B9E"/>
              <w:right w:val="single" w:sz="6" w:color="000000"/>
              <w:bottom w:val="single" w:sz="6" w:color="000000"/>
            </w:tcBorders>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86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before="75" w:after="120"/>
            </w:pPr>
            <w:r>
              <w:rPr>
                <w:rFonts w:ascii="Tahoma" w:hAnsi="Tahoma" w:cs="Tahoma" w:eastAsia="Tahoma"/>
                <w:sz w:val="16"/>
              </w:rPr>
              <w:t xml:space="preserve">Inligting is beskikbaar op die internet by </w:t>
            </w:r>
            <w:hyperlink r:id="hrId5">
              <w:r>
                <w:rPr>
                  <w:rFonts w:ascii="Tahoma" w:hAnsi="Tahoma" w:cs="Tahoma" w:eastAsia="Tahoma"/>
                  <w:u w:val="single"/>
                  <w:sz w:val="16"/>
                  <w:color w:val="0000FF"/>
                </w:rPr>
                <w:t>http://www.nda.agric.za/food</w:t>
              </w:r>
            </w:hyperlink>
            <w:r>
              <w:rPr>
                <w:rFonts w:ascii="Tahoma" w:hAnsi="Tahoma" w:cs="Tahoma" w:eastAsia="Tahoma"/>
                <w:u w:val="single"/>
                <w:sz w:val="16"/>
                <w:color w:val="0000FF"/>
              </w:rPr>
              <w:t xml:space="preserve"> security issues</w:t>
            </w:r>
            <w:r>
              <w:rPr>
                <w:rFonts w:ascii="Tahoma" w:hAnsi="Tahoma" w:cs="Tahoma" w:eastAsia="Tahoma"/>
                <w:sz w:val="16"/>
              </w:rPr>
              <w:t xml:space="preserve"> of by </w:t>
            </w:r>
            <w:hyperlink r:id="hrId6">
              <w:r>
                <w:rPr>
                  <w:rFonts w:ascii="Tahoma" w:hAnsi="Tahoma" w:cs="Tahoma" w:eastAsia="Tahoma"/>
                  <w:sz w:val="16"/>
                </w:rPr>
                <w:t>http://www.sagis.org.za</w:t>
              </w:r>
            </w:hyperlink>
            <w:r>
              <w:rPr>
                <w:rFonts w:ascii="Tahoma" w:hAnsi="Tahoma" w:cs="Tahoma" w:eastAsia="Tahoma"/>
                <w:sz w:val="16"/>
              </w:rPr>
              <w:t>, vanaf 14:30 op die dag van die toepaslike vergadering van die Oesskattingskomitee.</w:t>
            </w:r>
          </w:p>
        </w:tc>
      </w:tr>
    </w:tbl>
    <w:p>
      <w:pPr>
        <w:bidi w:val="0"/>
      </w:pPr>
      <w:r>
        <w:rPr>
          <w:rFonts w:ascii="Tahoma" w:hAnsi="Tahoma" w:cs="Tahoma" w:eastAsia="Tahoma"/>
        </w:rPr>
        <w:t/>
      </w:r>
    </w:p>
    <w:p>
      <w:pPr>
        <w:pStyle w:val="42"/>
        <w:jc w:val="left"/>
        <w:bidi w:val="0"/>
        <w:spacing w:after="120"/>
      </w:pPr>
      <w:r>
        <w:t/>
      </w:r>
    </w:p>
    <w:p>
      <w:pPr>
        <w:pStyle w:val="42"/>
        <w:ind w:right="-60"/>
        <w:bidi w:val="0"/>
      </w:pPr>
      <w:r>
        <w:t/>
      </w:r>
    </w:p>
    <w:p>
      <w:pPr>
        <w:bidi w:val="0"/>
      </w:pPr>
      <w:r>
        <w:t/>
      </w:r>
    </w:p>
    <w:sectPr>
      <w:pgSz w:w="16837" w:h="11905" w:orient="landscape"/>
      <w:pgMar w:top="1440" w:right="1440" w:bottom="1440" w:left="1440" w:header="397" w:footer="17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Tahoma">
    <w:charset w:val="01"/>
  </w:font>
  <w:font w:name="Arial">
    <w:charset w:val="01"/>
  </w:font>
  <w:font w:name="Courier New">
    <w:charset w:val="01"/>
  </w:font>
  <w:font w:name="Symbol">
    <w:charset w:val="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bullet"/>
      <w:lvlText w:val="·"/>
      <w:lvlJc w:val="left"/>
      <w:pPr>
        <w:ind w:left="720" w:hanging="360"/>
        <w:tab w:val="num" w:pos="720"/>
      </w:pPr>
      <w:rPr>
        <w:rFonts w:ascii="Symbol" w:hAnsi="Symbol" w:cs="Symbol" w:eastAsia="Symbol"/>
        <w:b w:val="0"/>
        <w:i w:val="0"/>
        <w:strike w:val="0"/>
        <w:sz w:val="24"/>
        <w:color w:val="auto"/>
        <w:u w:val="none"/>
      </w:rPr>
    </w:lvl>
  </w:abstractNum>
  <w:abstractNum w:abstractNumId="1">
    <w:multiLevelType w:val="singleLevel"/>
    <w:lvl w:ilvl="0">
      <w:numFmt w:val="bullet"/>
      <w:lvlText w:val="·"/>
      <w:lvlJc w:val="left"/>
      <w:pPr>
        <w:ind w:left="720" w:hanging="360"/>
        <w:tab w:val="num" w:pos="720"/>
      </w:pPr>
      <w:rPr>
        <w:rFonts w:ascii="Symbol" w:hAnsi="Symbol" w:cs="Symbol" w:eastAsia="Symbol"/>
        <w:b w:val="0"/>
        <w:i w:val="0"/>
        <w:strike w:val="0"/>
        <w:sz w:val="24"/>
        <w:color w:val="auto"/>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ahoma" w:hAnsi="Tahoma" w:cs="Tahoma" w:eastAsia="Tahoma"/>
    </w:rPr>
  </w:style>
  <w:style w:type="paragraph" w:styleId="1">
    <w:name w:val="Contents 2"/>
    <w:basedOn w:val="39"/>
    <w:next w:val="39"/>
    <w:pPr>
      <w:ind w:left="1440" w:hanging="435"/>
    </w:pPr>
    <w:rPr>
      <w:rFonts w:ascii="Tahoma" w:hAnsi="Tahoma" w:cs="Tahoma" w:eastAsia="Tahoma"/>
    </w:rPr>
  </w:style>
  <w:style w:type="paragraph" w:styleId="2">
    <w:name w:val="Contents 3"/>
    <w:basedOn w:val="39"/>
    <w:next w:val="39"/>
    <w:pPr>
      <w:ind w:left="2160" w:hanging="435"/>
    </w:pPr>
    <w:rPr>
      <w:rFonts w:ascii="Tahoma" w:hAnsi="Tahoma" w:cs="Tahoma" w:eastAsia="Tahoma"/>
    </w:rPr>
  </w:style>
  <w:style w:type="paragraph" w:styleId="3">
    <w:name w:val="Lower Roman List"/>
    <w:basedOn w:val="39"/>
    <w:pPr>
      <w:ind w:left="720" w:hanging="435"/>
    </w:pPr>
    <w:rPr>
      <w:rFonts w:ascii="Tahoma" w:hAnsi="Tahoma" w:cs="Tahoma" w:eastAsia="Tahoma"/>
    </w:rPr>
  </w:style>
  <w:style w:type="paragraph" w:styleId="4">
    <w:name w:val="Numbered Heading 1"/>
    <w:basedOn w:val="28"/>
    <w:next w:val="39"/>
    <w:pPr>
      <w:spacing w:before="0" w:after="0"/>
      <w:tabs>
        <w:tab w:val="left" w:pos="435"/>
        <w:tab w:val="clear" w:pos="0"/>
      </w:tabs>
    </w:pPr>
    <w:rPr>
      <w:rFonts w:ascii="Tahoma" w:hAnsi="Tahoma" w:cs="Tahoma" w:eastAsia="Tahoma"/>
      <w:b w:val="0"/>
      <w:sz w:val="24"/>
    </w:rPr>
  </w:style>
  <w:style w:type="paragraph" w:styleId="5">
    <w:name w:val="Numbered Heading 2"/>
    <w:basedOn w:val="29"/>
    <w:next w:val="39"/>
    <w:pPr>
      <w:spacing w:before="0" w:after="0"/>
      <w:tabs>
        <w:tab w:val="left" w:pos="435"/>
        <w:tab w:val="clear" w:pos="0"/>
      </w:tabs>
    </w:pPr>
    <w:rPr>
      <w:rFonts w:ascii="Tahoma" w:hAnsi="Tahoma" w:cs="Tahoma" w:eastAsia="Tahoma"/>
      <w:b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9"/>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ahoma" w:hAnsi="Tahoma" w:cs="Tahoma" w:eastAsia="Tahoma"/>
    </w:rPr>
  </w:style>
  <w:style w:type="paragraph" w:styleId="10">
    <w:name w:val="Numbered Heading 3"/>
    <w:basedOn w:val="32"/>
    <w:next w:val="39"/>
    <w:pPr>
      <w:spacing w:before="0" w:after="0"/>
      <w:tabs>
        <w:tab w:val="left" w:pos="435"/>
        <w:tab w:val="clear" w:pos="0"/>
      </w:tabs>
    </w:pPr>
    <w:rPr>
      <w:rFonts w:ascii="Tahoma" w:hAnsi="Tahoma" w:cs="Tahoma" w:eastAsia="Tahoma"/>
      <w:b w:val="0"/>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Header"/>
    <w:basedOn w:val="39"/>
    <w:pPr>
      <w:tabs>
        <w:tab w:val="center" w:pos="4320"/>
        <w:tab w:val="center" w:pos="8640"/>
        <w:tab w:val="clear" w:pos="0"/>
      </w:tabs>
    </w:pPr>
    <w:rPr>
      <w:sz w:val="20"/>
    </w:rPr>
  </w:style>
  <w:style w:type="paragraph" w:styleId="14">
    <w:name w:val="Triangle List"/>
    <w:pPr>
      <w:ind w:left="720" w:hanging="435"/>
    </w:pPr>
    <w:rPr>
      <w:rFonts w:ascii="Tahoma" w:hAnsi="Tahoma" w:cs="Tahoma" w:eastAsia="Tahoma"/>
      <w:sz w:val="24"/>
    </w:rPr>
  </w:style>
  <w:style w:type="paragraph" w:styleId="15">
    <w:name w:val="Square List"/>
    <w:pPr>
      <w:ind w:left="720" w:hanging="435"/>
    </w:pPr>
    <w:rPr>
      <w:rFonts w:ascii="Tahoma" w:hAnsi="Tahoma" w:cs="Tahoma" w:eastAsia="Tahoma"/>
      <w:sz w:val="24"/>
    </w:rPr>
  </w:style>
  <w:style w:type="paragraph" w:styleId="16">
    <w:name w:val="Body Text"/>
    <w:basedOn w:val="39"/>
    <w:pPr>
      <w:spacing w:after="120"/>
    </w:pPr>
  </w:style>
  <w:style w:type="paragraph" w:styleId="17">
    <w:name w:val="Dashed List"/>
    <w:pPr>
      <w:ind w:left="720" w:hanging="435"/>
    </w:pPr>
    <w:rPr>
      <w:rFonts w:ascii="Tahoma" w:hAnsi="Tahoma" w:cs="Tahoma" w:eastAsia="Tahoma"/>
      <w:sz w:val="24"/>
    </w:rPr>
  </w:style>
  <w:style w:type="paragraph" w:styleId="18">
    <w:name w:val="Upper Roman List"/>
    <w:basedOn w:val="11"/>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Normal"/>
    <w:rPr>
      <w:rFonts w:ascii="Tahoma" w:hAnsi="Tahoma" w:cs="Tahoma" w:eastAsia="Tahoma"/>
      <w:b/>
      <w:sz w:val="48"/>
    </w:rPr>
  </w:style>
  <w:style w:type="paragraph" w:styleId="22">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23">
    <w:name w:val="Body Text Indent"/>
    <w:basedOn w:val="39"/>
    <w:pPr>
      <w:ind w:left="285"/>
      <w:spacing w:after="120"/>
    </w:p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9"/>
    <w:link w:val="c27"/>
    <w:rPr>
      <w:rFonts w:ascii="Tahoma" w:hAnsi="Tahoma" w:cs="Tahoma" w:eastAsia="Tahoma"/>
      <w:sz w:val="20"/>
    </w:rPr>
  </w:style>
  <w:style w:type="character" w:styleId="c27">
    <w:name w:val="Footnote Text Text"/>
    <w:basedOn w:val="def"/>
    <w:link w:val="27"/>
    <w:rPr>
      <w:rFonts w:ascii="Tahoma" w:hAnsi="Tahoma" w:cs="Tahoma" w:eastAsia="Tahoma"/>
      <w:sz w:val="20"/>
    </w:rPr>
  </w:style>
  <w:style w:type="paragraph" w:styleId="28">
    <w:name w:val="Heading 1"/>
    <w:basedOn w:val="39"/>
    <w:next w:val="39"/>
    <w:pPr>
      <w:spacing w:before="435" w:after="60"/>
    </w:pPr>
    <w:rPr>
      <w:rFonts w:ascii="Arial" w:hAnsi="Arial" w:cs="Arial" w:eastAsia="Arial"/>
      <w:b/>
      <w:sz w:val="34"/>
    </w:rPr>
  </w:style>
  <w:style w:type="paragraph" w:styleId="29">
    <w:name w:val="Heading 2"/>
    <w:basedOn w:val="39"/>
    <w:next w:val="39"/>
    <w:pPr>
      <w:spacing w:before="435" w:after="60"/>
    </w:pPr>
    <w:rPr>
      <w:rFonts w:ascii="Arial" w:hAnsi="Arial" w:cs="Arial" w:eastAsia="Arial"/>
      <w:b/>
      <w:sz w:val="28"/>
    </w:rPr>
  </w:style>
  <w:style w:type="paragraph" w:styleId="30">
    <w:name w:val="Contents Header"/>
    <w:basedOn w:val="39"/>
    <w:next w:val="39"/>
    <w:pPr>
      <w:jc w:val="center"/>
      <w:spacing w:before="240" w:after="120"/>
    </w:pPr>
    <w:rPr>
      <w:rFonts w:ascii="Arial" w:hAnsi="Arial" w:cs="Arial" w:eastAsia="Arial"/>
      <w:b/>
      <w:sz w:val="32"/>
    </w:rPr>
  </w:style>
  <w:style w:type="paragraph" w:styleId="31">
    <w:name w:val="Heading 4"/>
    <w:basedOn w:val="39"/>
    <w:next w:val="39"/>
    <w:pPr>
      <w:spacing w:before="435" w:after="60"/>
    </w:pPr>
    <w:rPr>
      <w:rFonts w:ascii="Arial" w:hAnsi="Arial" w:cs="Arial" w:eastAsia="Arial"/>
      <w:b/>
    </w:rPr>
  </w:style>
  <w:style w:type="paragraph" w:styleId="32">
    <w:name w:val="Heading 3"/>
    <w:basedOn w:val="39"/>
    <w:next w:val="39"/>
    <w:pPr>
      <w:spacing w:before="435" w:after="60"/>
    </w:pPr>
    <w:rPr>
      <w:rFonts w:ascii="Arial" w:hAnsi="Arial" w:cs="Arial" w:eastAsia="Arial"/>
      <w:b/>
    </w:rPr>
  </w:style>
  <w:style w:type="paragraph" w:styleId="33">
    <w:name w:val="Lower Case List"/>
    <w:basedOn w:val="11"/>
  </w:style>
  <w:style w:type="paragraph" w:styleId="34">
    <w:name w:val="Heading 7"/>
    <w:basedOn w:val="39"/>
    <w:next w:val="39"/>
    <w:pPr>
      <w:keepNext/>
      <w:spacing w:before="120" w:after="120"/>
    </w:pPr>
    <w:rPr>
      <w:rFonts w:ascii="Tahoma" w:hAnsi="Tahoma" w:cs="Tahoma" w:eastAsia="Tahoma"/>
      <w:b/>
      <w:sz w:val="48"/>
    </w:rPr>
  </w:style>
  <w:style w:type="paragraph" w:styleId="35">
    <w:name w:val="Document Map"/>
    <w:basedOn w:val="39"/>
    <w:rPr>
      <w:rFonts w:ascii="Tahoma" w:hAnsi="Tahoma" w:cs="Tahoma" w:eastAsia="Tahoma"/>
      <w:sz w:val="20"/>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ahoma" w:hAnsi="Tahoma" w:cs="Tahoma" w:eastAsia="Tahoma"/>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ahoma" w:hAnsi="Tahoma" w:cs="Tahoma" w:eastAsia="Tahoma"/>
      <w:sz w:val="24"/>
    </w:rPr>
  </w:style>
  <w:style w:type="character" w:styleId="c41">
    <w:name w:val="Footnote Reference"/>
    <w:basedOn w:val="def"/>
    <w:rPr>
      <w:rFonts w:ascii="Tahoma" w:hAnsi="Tahoma" w:cs="Tahoma" w:eastAsia="Tahoma"/>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CEC"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s>
</file>