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34"/>
              <w:bidi w:val="0"/>
              <w:spacing w:before="240"/>
            </w:pPr>
            <w:r>
              <w:rPr>
                <w:sz w:val="40"/>
              </w:rPr>
              <w:t>CROP ESTIMATES COMMITTEE</w:t>
            </w:r>
          </w:p>
        </w:tc>
        <w:tc>
          <w:tcPr>
            <w:tcW w:w="3240" w:type="dxa"/>
            <w:shd w:val="clear" w:color="auto" w:fill="FFFFFF"/>
          </w:tcPr>
          <w:p>
            <w:pPr>
              <w:pStyle w:val="34"/>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34"/>
              <w:bidi w:val="0"/>
            </w:pPr>
            <w:r>
              <w:rPr>
                <w:sz w:val="40"/>
              </w:rPr>
              <w:t>OESSKATTINGSKOMITEE</w:t>
            </w:r>
          </w:p>
        </w:tc>
        <w:tc>
          <w:tcPr>
            <w:tcW w:w="3240" w:type="dxa"/>
            <w:shd w:val="clear" w:color="auto" w:fill="FFFFFF"/>
          </w:tcPr>
          <w:p>
            <w:pPr>
              <w:pStyle w:val="34"/>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6"/>
              </w:rPr>
              <w:t>From/Van:</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Fax/Faks:</w:t>
            </w:r>
            <w:r>
              <w:rPr>
                <w:rFonts w:ascii="Tahoma" w:hAnsi="Tahoma" w:cs="Tahoma" w:eastAsia="Tahoma"/>
                <w:sz w:val="16"/>
              </w:rPr>
              <w:t xml:space="preserve"> 012  319 6211   </w:t>
            </w:r>
            <w:r>
              <w:rPr>
                <w:rFonts w:ascii="Tahoma" w:hAnsi="Tahoma" w:cs="Tahoma" w:eastAsia="Tahoma"/>
                <w:b/>
                <w:sz w:val="16"/>
              </w:rPr>
              <w:t>E-mail/E-pos:</w:t>
            </w:r>
            <w:r>
              <w:rPr>
                <w:rFonts w:ascii="Tahoma" w:hAnsi="Tahoma" w:cs="Tahoma" w:eastAsia="Tahoma"/>
                <w:sz w:val="16"/>
              </w:rPr>
              <w:t xml:space="preserve"> CDESS@daff.gov.za</w:t>
            </w:r>
          </w:p>
          <w:p>
            <w:pPr>
              <w:jc w:val="center"/>
              <w:bidi w:val="0"/>
              <w:spacing w:after="75"/>
            </w:pPr>
            <w:r>
              <w:rPr>
                <w:rFonts w:ascii="Tahoma" w:hAnsi="Tahoma" w:cs="Tahoma" w:eastAsia="Tahoma"/>
                <w:sz w:val="16"/>
              </w:rPr>
              <w:t xml:space="preserve">Web page/Webblad: </w:t>
            </w:r>
            <w:hyperlink r:id="hrId1">
              <w:r>
                <w:rPr>
                  <w:rFonts w:ascii="Tahoma" w:hAnsi="Tahoma" w:cs="Tahoma" w:eastAsia="Tahoma"/>
                  <w:sz w:val="16"/>
                </w:rPr>
                <w:t>www.daff.gov.za/crop estimates</w:t>
              </w:r>
            </w:hyperlink>
            <w:r>
              <w:rPr>
                <w:rFonts w:ascii="Tahoma" w:hAnsi="Tahoma" w:cs="Tahoma" w:eastAsia="Tahoma"/>
                <w:sz w:val="16"/>
              </w:rPr>
              <w:t xml:space="preserve">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21 January/Januarie 2010</w:t>
      </w:r>
    </w:p>
    <w:p>
      <w:pPr>
        <w:jc w:val="both"/>
        <w:bidi w:val="0"/>
      </w:pPr>
      <w:r>
        <w:t/>
      </w:r>
    </w:p>
    <w:p>
      <w:pPr>
        <w:bidi w:val="0"/>
      </w:pPr>
      <w:r>
        <w:rPr>
          <w:rFonts w:ascii="Tahoma" w:hAnsi="Tahoma" w:cs="Tahoma" w:eastAsia="Tahoma"/>
        </w:rPr>
        <w:t/>
      </w:r>
    </w:p>
    <w:p>
      <w:pPr>
        <w:bidi w:val="0"/>
      </w:pPr>
      <w:r>
        <w:t/>
      </w:r>
    </w:p>
    <w:p>
      <w:pPr>
        <w:pStyle w:val="42"/>
        <w:jc w:val="left"/>
        <w:ind w:right="-60"/>
        <w:bidi w:val="0"/>
        <w:spacing w:after="60"/>
      </w:pPr>
      <w:r>
        <w:rPr>
          <w:b/>
          <w:sz w:val="14"/>
        </w:rPr>
        <w:t>SUMMER CROPS</w:t>
      </w:r>
      <w:r>
        <w:rPr>
          <w:sz w:val="14"/>
        </w:rPr>
        <w:t xml:space="preserve"> – PRELIMINARY AREA PLANTED ESTIMATE: 2009/10 PRODUCTION SEASON</w:t>
      </w:r>
    </w:p>
    <w:p>
      <w:pPr>
        <w:pStyle w:val="42"/>
        <w:jc w:val="left"/>
        <w:ind w:right="-60"/>
        <w:bidi w:val="0"/>
        <w:spacing w:after="60"/>
      </w:pPr>
      <w:r>
        <w:rPr>
          <w:b/>
          <w:sz w:val="14"/>
        </w:rPr>
        <w:t>SOMERGEWASSE</w:t>
      </w:r>
      <w:r>
        <w:rPr>
          <w:sz w:val="14"/>
        </w:rPr>
        <w:t xml:space="preserve"> – VOORLOPIGE OPPERVLAKTESKATTING: 2009/10-PRODUKSIESEISOEN</w:t>
      </w:r>
    </w:p>
    <w:p>
      <w:pPr>
        <w:bidi w:val="0"/>
      </w:pPr>
      <w:r>
        <w:rPr>
          <w:rFonts w:ascii="Tahoma" w:hAnsi="Tahoma" w:cs="Tahoma" w:eastAsia="Tahoma"/>
        </w:rPr>
        <w:t/>
      </w:r>
    </w:p>
    <w:tbl>
      <w:tblPr>
        <w:tblW w:w="7460" w:type="dxa"/>
        <w:tblLayout w:type="fixed"/>
        <w:tblCellMar>
          <w:top w:w="0" w:type="dxa"/>
          <w:left w:w="0" w:type="dxa"/>
          <w:bottom w:w="0" w:type="dxa"/>
          <w:right w:w="0" w:type="dxa"/>
        </w:tblCellMar>
        <w:tblInd w:w="-105" w:type="dxa"/>
      </w:tblPr>
      <w:tblGrid>
        <w:gridCol w:w="2415"/>
        <w:gridCol w:w="1290"/>
        <w:gridCol w:w="1290"/>
        <w:gridCol w:w="1125"/>
        <w:gridCol w:w="1335"/>
      </w:tblGrid>
      <w:tr>
        <w:tc>
          <w:tcPr>
            <w:tcW w:w="2420" w:type="dxa"/>
            <w:shd w:val="clear" w:color="auto" w:fill="FFFFFF"/>
          </w:tcPr>
          <w:p>
            <w:pPr>
              <w:pStyle w:val="42"/>
              <w:jc w:val="both"/>
              <w:ind w:right="-60"/>
              <w:bidi w:val="0"/>
              <w:spacing w:before="360"/>
            </w:pPr>
            <w:r>
              <w:rPr>
                <w:sz w:val="14"/>
              </w:rPr>
              <w:t>CROP/GEWAS</w:t>
            </w:r>
          </w:p>
        </w:tc>
        <w:tc>
          <w:tcPr>
            <w:tcW w:w="1290" w:type="dxa"/>
            <w:shd w:val="clear" w:color="auto" w:fill="FFFFFF"/>
          </w:tcPr>
          <w:p>
            <w:pPr>
              <w:pStyle w:val="42"/>
              <w:jc w:val="both"/>
              <w:ind w:right="-60"/>
              <w:bidi w:val="0"/>
              <w:spacing w:before="360"/>
            </w:pPr>
            <w:r>
              <w:rPr>
                <w:u w:val="none"/>
              </w:rPr>
              <w:t/>
            </w:r>
          </w:p>
          <w:p>
            <w:pPr>
              <w:pStyle w:val="42"/>
              <w:ind w:right="-60"/>
              <w:bidi w:val="0"/>
              <w:spacing w:before="60"/>
            </w:pPr>
            <w:r>
              <w:rPr>
                <w:b/>
                <w:sz w:val="14"/>
              </w:rPr>
              <w:t>Area planted/</w:t>
            </w:r>
          </w:p>
          <w:p>
            <w:pPr>
              <w:pStyle w:val="42"/>
              <w:ind w:right="-60"/>
              <w:bidi w:val="0"/>
            </w:pPr>
            <w:r>
              <w:rPr>
                <w:b/>
                <w:sz w:val="14"/>
              </w:rPr>
              <w:t>Opp beplant</w:t>
            </w:r>
          </w:p>
          <w:p>
            <w:pPr>
              <w:pStyle w:val="42"/>
              <w:ind w:right="-60"/>
              <w:bidi w:val="0"/>
            </w:pPr>
            <w:r>
              <w:rPr>
                <w:b/>
                <w:sz w:val="14"/>
              </w:rPr>
              <w:t>2009/10</w:t>
            </w:r>
          </w:p>
        </w:tc>
        <w:tc>
          <w:tcPr>
            <w:tcW w:w="1290" w:type="dxa"/>
            <w:shd w:val="clear" w:color="auto" w:fill="FFFFFF"/>
          </w:tcPr>
          <w:p>
            <w:pPr>
              <w:pStyle w:val="42"/>
              <w:ind w:right="-60"/>
              <w:bidi w:val="0"/>
            </w:pPr>
            <w:r>
              <w:rPr>
                <w:u w:val="none"/>
              </w:rPr>
              <w:t/>
            </w:r>
          </w:p>
          <w:p>
            <w:pPr>
              <w:pStyle w:val="42"/>
              <w:ind w:right="-60"/>
              <w:bidi w:val="0"/>
              <w:spacing w:before="60"/>
            </w:pPr>
            <w:r>
              <w:rPr>
                <w:sz w:val="14"/>
              </w:rPr>
              <w:t>Area planted/</w:t>
            </w:r>
          </w:p>
          <w:p>
            <w:pPr>
              <w:pStyle w:val="42"/>
              <w:ind w:right="-60"/>
              <w:bidi w:val="0"/>
            </w:pPr>
            <w:r>
              <w:rPr>
                <w:sz w:val="14"/>
              </w:rPr>
              <w:t>Opp beplant</w:t>
            </w:r>
          </w:p>
          <w:p>
            <w:pPr>
              <w:pStyle w:val="42"/>
              <w:ind w:right="-60"/>
              <w:bidi w:val="0"/>
            </w:pPr>
            <w:r>
              <w:t/>
            </w:r>
          </w:p>
          <w:p>
            <w:pPr>
              <w:pStyle w:val="42"/>
              <w:ind w:right="-60"/>
              <w:bidi w:val="0"/>
            </w:pPr>
            <w:r>
              <w:rPr>
                <w:sz w:val="14"/>
              </w:rPr>
              <w:t>2008/09</w:t>
            </w:r>
          </w:p>
        </w:tc>
        <w:tc>
          <w:tcPr>
            <w:tcW w:w="1130" w:type="dxa"/>
            <w:shd w:val="clear" w:color="auto" w:fill="FFFFFF"/>
          </w:tcPr>
          <w:p>
            <w:pPr>
              <w:pStyle w:val="42"/>
              <w:ind w:right="-60"/>
              <w:bidi w:val="0"/>
            </w:pPr>
            <w:r>
              <w:rPr>
                <w:u w:val="none"/>
              </w:rPr>
              <w:t/>
            </w:r>
          </w:p>
          <w:p>
            <w:pPr>
              <w:pStyle w:val="42"/>
              <w:ind w:right="-60"/>
              <w:bidi w:val="0"/>
              <w:spacing w:before="60"/>
            </w:pPr>
            <w:r>
              <w:rPr>
                <w:sz w:val="14"/>
              </w:rPr>
              <w:t>Finale oes/</w:t>
            </w:r>
          </w:p>
          <w:p>
            <w:pPr>
              <w:pStyle w:val="42"/>
              <w:ind w:right="-60"/>
              <w:bidi w:val="0"/>
            </w:pPr>
            <w:r>
              <w:rPr>
                <w:sz w:val="14"/>
              </w:rPr>
              <w:t>Final crop</w:t>
            </w:r>
          </w:p>
          <w:p>
            <w:pPr>
              <w:pStyle w:val="42"/>
              <w:ind w:right="-60"/>
              <w:bidi w:val="0"/>
            </w:pPr>
            <w:r>
              <w:t/>
            </w:r>
          </w:p>
          <w:p>
            <w:pPr>
              <w:pStyle w:val="42"/>
              <w:ind w:right="-60"/>
              <w:bidi w:val="0"/>
            </w:pPr>
            <w:r>
              <w:rPr>
                <w:sz w:val="14"/>
              </w:rPr>
              <w:t>2008/09</w:t>
            </w:r>
          </w:p>
        </w:tc>
        <w:tc>
          <w:tcPr>
            <w:tcW w:w="1330" w:type="dxa"/>
            <w:shd w:val="clear" w:color="auto" w:fill="FFFFFF"/>
          </w:tcPr>
          <w:p>
            <w:pPr>
              <w:pStyle w:val="42"/>
              <w:ind w:right="-60"/>
              <w:bidi w:val="0"/>
            </w:pPr>
            <w:r>
              <w:rPr>
                <w:u w:val="none"/>
              </w:rPr>
              <w:t/>
            </w:r>
          </w:p>
          <w:p>
            <w:pPr>
              <w:pStyle w:val="42"/>
              <w:ind w:right="-60"/>
              <w:bidi w:val="0"/>
              <w:spacing w:before="60" w:after="60"/>
            </w:pPr>
            <w:r>
              <w:rPr>
                <w:sz w:val="14"/>
              </w:rPr>
              <w:t>Change/</w:t>
            </w:r>
          </w:p>
          <w:p>
            <w:pPr>
              <w:pStyle w:val="42"/>
              <w:ind w:right="-60"/>
              <w:bidi w:val="0"/>
            </w:pPr>
            <w:r>
              <w:rPr>
                <w:sz w:val="14"/>
              </w:rPr>
              <w:t>Verandering/</w:t>
            </w:r>
          </w:p>
          <w:p>
            <w:pPr>
              <w:pStyle w:val="42"/>
              <w:ind w:right="-60"/>
              <w:bidi w:val="0"/>
            </w:pPr>
            <w:r>
              <w:rPr>
                <w:u w:val="none"/>
              </w:rPr>
              <w:t/>
            </w:r>
          </w:p>
        </w:tc>
      </w:tr>
      <w:tr>
        <w:tc>
          <w:tcPr>
            <w:tcW w:w="2420" w:type="dxa"/>
            <w:shd w:val="clear" w:color="auto" w:fill="FFFFFF"/>
          </w:tcPr>
          <w:p>
            <w:pPr>
              <w:pStyle w:val="42"/>
              <w:jc w:val="both"/>
              <w:ind w:right="-60"/>
              <w:bidi w:val="0"/>
              <w:spacing w:before="15" w:after="15"/>
            </w:pPr>
            <w:r>
              <w:rPr>
                <w:u w:val="none"/>
              </w:rPr>
              <w:t/>
            </w:r>
          </w:p>
        </w:tc>
        <w:tc>
          <w:tcPr>
            <w:tcW w:w="1290" w:type="dxa"/>
            <w:shd w:val="clear" w:color="auto" w:fill="FFFFFF"/>
          </w:tcPr>
          <w:p>
            <w:pPr>
              <w:pStyle w:val="42"/>
              <w:ind w:right="-60"/>
              <w:bidi w:val="0"/>
              <w:spacing w:before="15" w:after="15"/>
            </w:pPr>
            <w:r>
              <w:rPr>
                <w:b/>
                <w:sz w:val="14"/>
              </w:rPr>
              <w:t>Ha</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Ha</w:t>
            </w:r>
          </w:p>
        </w:tc>
        <w:tc>
          <w:tcPr>
            <w:tcW w:w="11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3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w:t>
            </w:r>
          </w:p>
        </w:tc>
      </w:tr>
      <w:tr>
        <w:tc>
          <w:tcPr>
            <w:tcW w:w="2420" w:type="dxa"/>
            <w:shd w:val="clear" w:color="auto" w:fill="FFFFFF"/>
          </w:tcPr>
          <w:p>
            <w:pPr>
              <w:pStyle w:val="42"/>
              <w:ind w:right="-60"/>
              <w:bidi w:val="0"/>
              <w:spacing w:before="15" w:after="15"/>
            </w:pPr>
            <w:r>
              <w:rPr>
                <w:u w:val="none"/>
              </w:rPr>
              <w:t/>
            </w:r>
          </w:p>
          <w:p>
            <w:pPr>
              <w:pStyle w:val="42"/>
              <w:jc w:val="both"/>
              <w:ind w:right="-60"/>
              <w:bidi w:val="0"/>
              <w:spacing w:before="15" w:after="15"/>
            </w:pPr>
            <w:r>
              <w:rPr>
                <w:u w:val="none"/>
              </w:rPr>
              <w:t/>
            </w:r>
          </w:p>
        </w:tc>
        <w:tc>
          <w:tcPr>
            <w:tcW w:w="1290" w:type="dxa"/>
            <w:shd w:val="clear" w:color="auto" w:fill="FFFFFF"/>
          </w:tcPr>
          <w:p>
            <w:pPr>
              <w:pStyle w:val="42"/>
              <w:ind w:right="-60"/>
              <w:bidi w:val="0"/>
              <w:spacing w:before="15" w:after="15"/>
            </w:pPr>
            <w:r>
              <w:rPr>
                <w:b/>
                <w:sz w:val="14"/>
              </w:rPr>
              <w:t>(A)</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w:t>
            </w:r>
          </w:p>
        </w:tc>
        <w:tc>
          <w:tcPr>
            <w:tcW w:w="11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(C)</w:t>
            </w:r>
          </w:p>
        </w:tc>
        <w:tc>
          <w:tcPr>
            <w:tcW w:w="13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(A) ÷ (B)</w:t>
            </w:r>
          </w:p>
        </w:tc>
      </w:tr>
      <w:tr>
        <w:tc>
          <w:tcPr>
            <w:tcW w:w="7460" w:type="dxa"/>
            <w:gridSpan w:val="5"/>
            <w:shd w:val="clear" w:color="auto" w:fill="FFFFFF"/>
          </w:tcPr>
          <w:p>
            <w:pPr>
              <w:pStyle w:val="42"/>
              <w:ind w:right="-60"/>
              <w:bidi w:val="0"/>
              <w:spacing w:before="15" w:after="15"/>
            </w:pPr>
            <w:r>
              <w:rPr>
                <w:u w:val="none"/>
              </w:rPr>
              <w:t/>
            </w:r>
          </w:p>
          <w:p>
            <w:pPr>
              <w:ind w:right="105"/>
              <w:bidi w:val="0"/>
              <w:spacing w:before="45" w:after="45"/>
            </w:pPr>
            <w:r>
              <w:rPr>
                <w:rFonts w:ascii="Tahoma" w:hAnsi="Tahoma" w:cs="Tahoma" w:eastAsia="Tahoma"/>
                <w:sz w:val="14"/>
              </w:rPr>
              <w:t>Commercial/Kommersieel:</w:t>
            </w:r>
          </w:p>
        </w:tc>
      </w:tr>
      <w:tr>
        <w:tc>
          <w:tcPr>
            <w:tcW w:w="2420" w:type="dxa"/>
            <w:shd w:val="clear" w:color="auto" w:fill="FFFFFF"/>
          </w:tcPr>
          <w:p>
            <w:pPr>
              <w:ind w:right="105"/>
              <w:bidi w:val="0"/>
              <w:spacing w:before="45" w:after="45"/>
            </w:pPr>
            <w:r>
              <w:rPr>
                <w:rFonts w:ascii="Tahoma" w:hAnsi="Tahoma" w:cs="Tahoma" w:eastAsia="Tahoma"/>
              </w:rPr>
              <w:t/>
            </w:r>
          </w:p>
          <w:p>
            <w:pPr>
              <w:pStyle w:val="42"/>
              <w:jc w:val="both"/>
              <w:ind w:right="-105" w:firstLine="180"/>
              <w:bidi w:val="0"/>
              <w:spacing w:before="45" w:after="45"/>
            </w:pPr>
            <w:r>
              <w:rPr>
                <w:sz w:val="14"/>
              </w:rPr>
              <w:t>White maize/Witmielies</w:t>
            </w:r>
          </w:p>
        </w:tc>
        <w:tc>
          <w:tcPr>
            <w:tcW w:w="1290" w:type="dxa"/>
            <w:shd w:val="clear" w:color="auto" w:fill="FFFFFF"/>
          </w:tcPr>
          <w:p>
            <w:pPr>
              <w:pStyle w:val="42"/>
              <w:jc w:val="both"/>
              <w:ind w:right="-105" w:firstLine="180"/>
              <w:bidi w:val="0"/>
              <w:spacing w:before="45" w:after="45"/>
            </w:pPr>
            <w:r>
              <w:rPr>
                <w:u w:val="none"/>
              </w:rPr>
              <w:t/>
            </w:r>
          </w:p>
          <w:p>
            <w:pPr>
              <w:pStyle w:val="42"/>
              <w:jc w:val="right"/>
              <w:ind w:right="165"/>
              <w:bidi w:val="0"/>
              <w:spacing w:before="45" w:after="45"/>
            </w:pPr>
            <w:r>
              <w:rPr>
                <w:b/>
                <w:sz w:val="14"/>
              </w:rPr>
              <w:t>1  651  700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1  489  000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6 775 000</w:t>
            </w:r>
          </w:p>
        </w:tc>
        <w:tc>
          <w:tcPr>
            <w:tcW w:w="133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+10,93</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105" w:firstLine="180"/>
              <w:bidi w:val="0"/>
              <w:spacing w:before="45" w:after="45"/>
            </w:pPr>
            <w:r>
              <w:rPr>
                <w:sz w:val="14"/>
              </w:rPr>
              <w:t>Yellow maize/Geelmielies</w:t>
            </w:r>
          </w:p>
        </w:tc>
        <w:tc>
          <w:tcPr>
            <w:tcW w:w="1290" w:type="dxa"/>
            <w:shd w:val="clear" w:color="auto" w:fill="FFFFFF"/>
          </w:tcPr>
          <w:p>
            <w:pPr>
              <w:pStyle w:val="42"/>
              <w:jc w:val="both"/>
              <w:ind w:right="-105" w:firstLine="180"/>
              <w:bidi w:val="0"/>
              <w:spacing w:before="45" w:after="45"/>
            </w:pPr>
            <w:r>
              <w:rPr>
                <w:u w:val="none"/>
              </w:rPr>
              <w:t/>
            </w:r>
          </w:p>
          <w:p>
            <w:pPr>
              <w:pStyle w:val="42"/>
              <w:jc w:val="right"/>
              <w:ind w:right="165"/>
              <w:bidi w:val="0"/>
              <w:spacing w:before="45" w:after="45"/>
            </w:pPr>
            <w:r>
              <w:rPr>
                <w:b/>
                <w:sz w:val="14"/>
              </w:rPr>
              <w:t>975  500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938  500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5 275 000</w:t>
            </w:r>
          </w:p>
        </w:tc>
        <w:tc>
          <w:tcPr>
            <w:tcW w:w="133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+3,94</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left"/>
              <w:ind w:right="75"/>
              <w:bidi w:val="0"/>
              <w:spacing w:before="45" w:after="45"/>
            </w:pPr>
            <w:r>
              <w:rPr>
                <w:sz w:val="14"/>
              </w:rPr>
              <w:t>Maize/Mielies</w:t>
            </w:r>
          </w:p>
        </w:tc>
        <w:tc>
          <w:tcPr>
            <w:tcW w:w="1290" w:type="dxa"/>
            <w:shd w:val="clear" w:color="auto" w:fill="FFFFFF"/>
          </w:tcPr>
          <w:p>
            <w:pPr>
              <w:pStyle w:val="42"/>
              <w:jc w:val="left"/>
              <w:ind w:right="75"/>
              <w:bidi w:val="0"/>
              <w:spacing w:before="45" w:after="45"/>
            </w:pPr>
            <w:r>
              <w:rPr>
                <w:u w:val="none"/>
              </w:rPr>
              <w:t/>
            </w:r>
          </w:p>
          <w:p>
            <w:pPr>
              <w:pStyle w:val="42"/>
              <w:jc w:val="right"/>
              <w:ind w:right="165"/>
              <w:bidi w:val="0"/>
              <w:spacing w:before="45" w:after="45"/>
            </w:pPr>
            <w:r>
              <w:rPr>
                <w:b/>
                <w:sz w:val="14"/>
              </w:rPr>
              <w:t>2  627 200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2  427 500</w:t>
            </w:r>
          </w:p>
        </w:tc>
        <w:tc>
          <w:tcPr>
            <w:tcW w:w="113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12 050 000</w:t>
            </w:r>
          </w:p>
        </w:tc>
        <w:tc>
          <w:tcPr>
            <w:tcW w:w="1330" w:type="dxa"/>
            <w:shd w:val="clear" w:color="auto" w:fill="FFFFFF"/>
          </w:tcPr>
          <w:p>
            <w:pPr>
              <w:jc w:val="right"/>
              <w:ind w:right="13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+8,23</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Sunflower seed/Sunflower seed</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b/>
                <w:sz w:val="14"/>
              </w:rPr>
              <w:t>426 700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635 800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801 000</w:t>
            </w:r>
          </w:p>
        </w:tc>
        <w:tc>
          <w:tcPr>
            <w:tcW w:w="133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-32,89</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Soya-beans/Sojabone</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b/>
                <w:sz w:val="14"/>
              </w:rPr>
              <w:t>274 850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237 750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516 000</w:t>
            </w:r>
          </w:p>
        </w:tc>
        <w:tc>
          <w:tcPr>
            <w:tcW w:w="133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+15,60</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Groundnuts/Grondbone</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b/>
                <w:sz w:val="14"/>
              </w:rPr>
              <w:t>53 200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54  550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99 500</w:t>
            </w:r>
          </w:p>
        </w:tc>
        <w:tc>
          <w:tcPr>
            <w:tcW w:w="133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-2,47</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Sorghum</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b/>
                <w:sz w:val="14"/>
              </w:rPr>
              <w:t>69 000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85 500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276 500</w:t>
            </w:r>
          </w:p>
        </w:tc>
        <w:tc>
          <w:tcPr>
            <w:tcW w:w="1330" w:type="dxa"/>
            <w:shd w:val="clear" w:color="auto" w:fill="FFFFFF"/>
          </w:tcPr>
          <w:p>
            <w:pPr>
              <w:pStyle w:val="42"/>
              <w:jc w:val="right"/>
              <w:ind w:right="165"/>
              <w:bidi w:val="0"/>
              <w:spacing w:before="45" w:after="45"/>
            </w:pPr>
            <w:r>
              <w:rPr>
                <w:u w:val="none"/>
              </w:rPr>
              <w:t/>
            </w:r>
          </w:p>
          <w:p>
            <w:pPr>
              <w:pStyle w:val="42"/>
              <w:jc w:val="right"/>
              <w:ind w:right="105"/>
              <w:bidi w:val="0"/>
              <w:spacing w:before="45" w:after="45"/>
            </w:pPr>
            <w:r>
              <w:rPr>
                <w:sz w:val="14"/>
              </w:rPr>
              <w:t>-19,30</w:t>
            </w:r>
          </w:p>
        </w:tc>
      </w:tr>
      <w:tr>
        <w:tc>
          <w:tcPr>
            <w:tcW w:w="2420" w:type="dxa"/>
            <w:shd w:val="clear" w:color="auto" w:fill="FFFFFF"/>
          </w:tcPr>
          <w:p>
            <w:pPr>
              <w:pStyle w:val="42"/>
              <w:jc w:val="right"/>
              <w:ind w:right="105"/>
              <w:bidi w:val="0"/>
              <w:spacing w:before="45" w:after="45"/>
            </w:pPr>
            <w:r>
              <w:rPr>
                <w:u w:val="none"/>
              </w:rPr>
              <w:t/>
            </w:r>
          </w:p>
          <w:p>
            <w:pPr>
              <w:pStyle w:val="42"/>
              <w:jc w:val="both"/>
              <w:ind w:right="-60"/>
              <w:bidi w:val="0"/>
              <w:spacing w:before="45" w:after="45"/>
            </w:pPr>
            <w:r>
              <w:rPr>
                <w:sz w:val="14"/>
              </w:rPr>
              <w:t>Dry beans/Droëbone</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b/>
                <w:sz w:val="14"/>
              </w:rPr>
              <w:t>41 000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43  800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67 030</w:t>
            </w:r>
          </w:p>
        </w:tc>
        <w:tc>
          <w:tcPr>
            <w:tcW w:w="133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-6,39</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TOTAL/TOTAAL</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b/>
                <w:sz w:val="14"/>
              </w:rPr>
              <w:t>3 491 950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3 484 900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 xml:space="preserve">13 810 030 </w:t>
            </w:r>
          </w:p>
        </w:tc>
        <w:tc>
          <w:tcPr>
            <w:tcW w:w="1330" w:type="dxa"/>
            <w:shd w:val="clear" w:color="auto" w:fill="FFFFFF"/>
          </w:tcPr>
          <w:p>
            <w:pPr>
              <w:pStyle w:val="42"/>
              <w:jc w:val="right"/>
              <w:ind w:right="165"/>
              <w:bidi w:val="0"/>
              <w:spacing w:before="45" w:after="45"/>
            </w:pPr>
            <w:r>
              <w:rPr>
                <w:u w:val="none"/>
              </w:rPr>
              <w:t/>
            </w:r>
          </w:p>
          <w:p>
            <w:pPr>
              <w:pStyle w:val="42"/>
              <w:jc w:val="right"/>
              <w:ind w:right="105"/>
              <w:bidi w:val="0"/>
              <w:spacing w:before="45" w:after="45"/>
            </w:pPr>
            <w:r>
              <w:rPr>
                <w:sz w:val="14"/>
              </w:rPr>
              <w:t>+0,20</w:t>
            </w:r>
          </w:p>
        </w:tc>
      </w:tr>
    </w:tbl>
    <w:p>
      <w:pPr>
        <w:bidi w:val="0"/>
      </w:pPr>
      <w:r>
        <w:rPr>
          <w:rFonts w:ascii="Tahoma" w:hAnsi="Tahoma" w:cs="Tahoma" w:eastAsia="Tahoma"/>
        </w:rPr>
        <w:t/>
      </w:r>
    </w:p>
    <w:p>
      <w:pPr>
        <w:pStyle w:val="42"/>
        <w:ind w:right="-60"/>
        <w:bidi w:val="0"/>
      </w:pPr>
      <w:r>
        <w:t/>
      </w:r>
    </w:p>
    <w:p>
      <w:pPr>
        <w:pStyle w:val="42"/>
        <w:ind w:right="-60"/>
        <w:bidi w:val="0"/>
      </w:pPr>
      <w:r>
        <w:rPr>
          <w:sz w:val="16"/>
        </w:rPr>
        <w:t/>
      </w:r>
    </w:p>
    <w:p>
      <w:pPr>
        <w:pStyle w:val="42"/>
        <w:ind w:right="-60"/>
        <w:bidi w:val="0"/>
      </w:pPr>
      <w:r>
        <w:t/>
      </w:r>
    </w:p>
    <w:p>
      <w:pPr>
        <w:pStyle w:val="42"/>
        <w:ind w:right="-60"/>
        <w:bidi w:val="0"/>
      </w:pPr>
      <w:r>
        <w:t/>
      </w:r>
    </w:p>
    <w:p>
      <w:pPr>
        <w:pStyle w:val="42"/>
        <w:ind w:right="-60"/>
        <w:bidi w:val="0"/>
      </w:pPr>
      <w:r>
        <w:t/>
      </w:r>
    </w:p>
    <w:p>
      <w:pPr>
        <w:pStyle w:val="42"/>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pPr>
        <w:pStyle w:val="42"/>
        <w:jc w:val="left"/>
        <w:ind w:right="-60"/>
        <w:bidi w:val="0"/>
        <w:spacing w:after="60"/>
      </w:pPr>
      <w:r>
        <w:rPr>
          <w:b/>
          <w:sz w:val="14"/>
        </w:rPr>
        <w:t>WHITE AND YELLOW MAIZE</w:t>
      </w:r>
      <w:r>
        <w:rPr>
          <w:sz w:val="14"/>
        </w:rPr>
        <w:t xml:space="preserve"> – PRELIMINARY AREA PLANTED ESTIMATE: 2009/10 PRODUCTION SEASON</w:t>
      </w:r>
    </w:p>
    <w:p>
      <w:pPr>
        <w:pStyle w:val="42"/>
        <w:jc w:val="left"/>
        <w:ind w:right="-60"/>
        <w:bidi w:val="0"/>
      </w:pPr>
      <w:r>
        <w:rPr>
          <w:b/>
          <w:sz w:val="14"/>
        </w:rPr>
        <w:t>WIT- EN GEELMIELIES</w:t>
      </w:r>
      <w:r>
        <w:rPr>
          <w:sz w:val="14"/>
        </w:rPr>
        <w:t xml:space="preserve"> – VOORLOPIGE OPPERVLAKTESKATTING: 2009/10 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2250" w:type="dxa"/>
        <w:tblLayout w:type="fixed"/>
        <w:tblCellMar>
          <w:top w:w="0" w:type="dxa"/>
          <w:left w:w="0" w:type="dxa"/>
          <w:bottom w:w="0" w:type="dxa"/>
          <w:right w:w="0" w:type="dxa"/>
        </w:tblCellMar>
      </w:tblPr>
      <w:tblGrid>
        <w:gridCol w:w="2295"/>
        <w:gridCol w:w="1095"/>
        <w:gridCol w:w="1110"/>
        <w:gridCol w:w="1095"/>
        <w:gridCol w:w="1095"/>
        <w:gridCol w:w="1110"/>
        <w:gridCol w:w="1095"/>
        <w:gridCol w:w="1095"/>
        <w:gridCol w:w="1110"/>
        <w:gridCol w:w="1095"/>
      </w:tblGrid>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2009/10</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2008/09</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1 500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51 000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28 750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633 750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660 000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1 040 000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565 000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390 000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2 627 250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1 900 000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4 527 250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3 200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16 700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15 900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76 500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92 400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41 500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87 500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248 000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521 000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215 000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477 000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1 290 000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1 580 000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2  870 000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18 500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171 550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246 550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34 000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358 800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175 500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534 300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0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625 000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785 000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2 019 750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2 574 750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1 651 700 </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975 500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2 627 200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1 489 000 </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938 500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2 427 500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6 775 000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5 275 000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12 050 000</w:t>
            </w:r>
          </w:p>
        </w:tc>
      </w:tr>
    </w:tbl>
    <w:p>
      <w:pPr>
        <w:bidi w:val="0"/>
      </w:pPr>
      <w:r>
        <w:rPr>
          <w:rFonts w:ascii="Tahoma" w:hAnsi="Tahoma" w:cs="Tahoma" w:eastAsia="Tahoma"/>
        </w:rP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pPr>
        <w:pStyle w:val="42"/>
        <w:jc w:val="left"/>
        <w:ind w:right="-60"/>
        <w:bidi w:val="0"/>
        <w:spacing w:after="60"/>
      </w:pPr>
      <w:r>
        <w:rPr>
          <w:b/>
          <w:sz w:val="14"/>
        </w:rPr>
        <w:t>SUNFLOWER SEED</w:t>
      </w:r>
      <w:r>
        <w:rPr>
          <w:sz w:val="14"/>
        </w:rPr>
        <w:t xml:space="preserve"> – PRELIMINARY AREA PLANTED ESTIMATE: 2009/10 PRODUCTION SEASON</w:t>
      </w:r>
    </w:p>
    <w:p>
      <w:pPr>
        <w:pStyle w:val="42"/>
        <w:jc w:val="left"/>
        <w:ind w:right="-60"/>
        <w:bidi w:val="0"/>
      </w:pPr>
      <w:r>
        <w:rPr>
          <w:b/>
          <w:sz w:val="14"/>
        </w:rPr>
        <w:t>SONNEBLOMSAAD</w:t>
      </w:r>
      <w:r>
        <w:rPr>
          <w:sz w:val="14"/>
        </w:rPr>
        <w:t xml:space="preserve"> – VOORLOPIGE OPPERVLAKTESKATTING: 2009/10 PRODUKSIESEISOEN</w:t>
      </w:r>
    </w:p>
    <w:p>
      <w:pPr>
        <w:pStyle w:val="42"/>
        <w:jc w:val="left"/>
        <w:ind w:right="-60"/>
        <w:bidi w:val="0"/>
      </w:pPr>
      <w:r>
        <w:t/>
      </w:r>
    </w:p>
    <w:p>
      <w:pPr>
        <w:bidi w:val="0"/>
      </w:pPr>
      <w:r>
        <w:rPr>
          <w:rFonts w:ascii="Tahoma" w:hAnsi="Tahoma" w:cs="Tahoma" w:eastAsia="Tahoma"/>
        </w:rPr>
        <w:t/>
      </w:r>
    </w:p>
    <w:tbl>
      <w:tblPr>
        <w:tblW w:w="6230" w:type="dxa"/>
        <w:tblLayout w:type="fixed"/>
        <w:tblCellMar>
          <w:top w:w="0" w:type="dxa"/>
          <w:left w:w="0" w:type="dxa"/>
          <w:bottom w:w="0" w:type="dxa"/>
          <w:right w:w="0" w:type="dxa"/>
        </w:tblCellMar>
      </w:tblPr>
      <w:tblGrid>
        <w:gridCol w:w="2355"/>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2009/10</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363 000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780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37 700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9 820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298 000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426 700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635 800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801 000</w:t>
            </w:r>
          </w:p>
        </w:tc>
      </w:tr>
    </w:tbl>
    <w:p>
      <w:pPr>
        <w:bidi w:val="0"/>
      </w:pPr>
      <w:r>
        <w:rPr>
          <w:rFonts w:ascii="Tahoma" w:hAnsi="Tahoma" w:cs="Tahoma" w:eastAsia="Tahoma"/>
        </w:rPr>
        <w:t/>
      </w:r>
    </w:p>
    <w:p>
      <w:pPr>
        <w:pStyle w:val="42"/>
        <w:jc w:val="left"/>
        <w:ind w:right="-60"/>
        <w:bidi w:val="0"/>
        <w:spacing w:after="60"/>
      </w:pPr>
      <w:r>
        <w:t/>
      </w:r>
    </w:p>
    <w:p>
      <w:pPr>
        <w:pStyle w:val="42"/>
        <w:jc w:val="left"/>
        <w:ind w:right="-60"/>
        <w:bidi w:val="0"/>
        <w:spacing w:after="60"/>
      </w:pPr>
      <w:r>
        <w:rPr>
          <w:b/>
          <w:sz w:val="14"/>
        </w:rPr>
        <w:t>SOYA-BEANS</w:t>
      </w:r>
      <w:r>
        <w:rPr>
          <w:sz w:val="14"/>
        </w:rPr>
        <w:t xml:space="preserve"> – PRELIMINARY AREA PLANTED ESTIMATE: 2009/10 PRODUCTION SEASON</w:t>
      </w:r>
    </w:p>
    <w:p>
      <w:pPr>
        <w:pStyle w:val="42"/>
        <w:jc w:val="left"/>
        <w:ind w:right="-60"/>
        <w:bidi w:val="0"/>
      </w:pPr>
      <w:r>
        <w:rPr>
          <w:b/>
          <w:sz w:val="14"/>
        </w:rPr>
        <w:t>SOJABONE</w:t>
      </w:r>
      <w:r>
        <w:rPr>
          <w:sz w:val="14"/>
        </w:rPr>
        <w:t xml:space="preserve"> – VOORLOPIGE OPPERVLAKTESKATTING: 2009/10 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6230" w:type="dxa"/>
        <w:tblLayout w:type="fixed"/>
        <w:tblCellMar>
          <w:top w:w="0" w:type="dxa"/>
          <w:left w:w="0" w:type="dxa"/>
          <w:bottom w:w="0" w:type="dxa"/>
          <w:right w:w="0" w:type="dxa"/>
        </w:tblCellMar>
      </w:tblPr>
      <w:tblGrid>
        <w:gridCol w:w="2355"/>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2009/10</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color w:val="FF0000"/>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2 250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75 000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55 000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99 000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1 600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75 600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44 000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12 525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18 525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274 850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237 750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516 000</w:t>
            </w:r>
          </w:p>
        </w:tc>
      </w:tr>
    </w:tbl>
    <w:p>
      <w:pPr>
        <w:bidi w:val="0"/>
      </w:pPr>
      <w:r>
        <w:rPr>
          <w:rFonts w:ascii="Tahoma" w:hAnsi="Tahoma" w:cs="Tahoma" w:eastAsia="Tahoma"/>
        </w:rPr>
        <w:t/>
      </w:r>
    </w:p>
    <w:p>
      <w:pPr>
        <w:pStyle w:val="42"/>
        <w:ind w:right="-60"/>
        <w:bidi w:val="0"/>
      </w:pPr>
      <w:r>
        <w:t/>
      </w:r>
    </w:p>
    <w:p>
      <w:pPr>
        <w:pStyle w:val="42"/>
        <w:ind w:right="-60"/>
        <w:bidi w:val="0"/>
      </w:pPr>
      <w:r>
        <w:t/>
      </w:r>
    </w:p>
    <w:p>
      <w:pPr>
        <w:pStyle w:val="42"/>
        <w:jc w:val="left"/>
        <w:ind w:right="-60"/>
        <w:bidi w:val="0"/>
        <w:spacing w:after="60"/>
      </w:pPr>
      <w:r>
        <w:rPr>
          <w:b/>
          <w:sz w:val="14"/>
        </w:rPr>
        <w:t>GROUNDNUTS</w:t>
      </w:r>
      <w:r>
        <w:rPr>
          <w:sz w:val="14"/>
        </w:rPr>
        <w:t xml:space="preserve"> – PRELIMINARY AREA PLANTED ESTIMATE: 2009/10 PRODUCTION SEASON</w:t>
      </w:r>
    </w:p>
    <w:p>
      <w:pPr>
        <w:pStyle w:val="42"/>
        <w:jc w:val="left"/>
        <w:ind w:right="-60"/>
        <w:bidi w:val="0"/>
      </w:pPr>
      <w:r>
        <w:rPr>
          <w:b/>
          <w:sz w:val="14"/>
        </w:rPr>
        <w:t>GRONDBONE</w:t>
      </w:r>
      <w:r>
        <w:rPr>
          <w:sz w:val="14"/>
        </w:rPr>
        <w:t xml:space="preserve"> – VOORLOPIGE OPPERVLAKTESKATTING: 2009/10 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6230" w:type="dxa"/>
        <w:tblLayout w:type="fixed"/>
        <w:tblCellMar>
          <w:top w:w="0" w:type="dxa"/>
          <w:left w:w="0" w:type="dxa"/>
          <w:bottom w:w="0" w:type="dxa"/>
          <w:right w:w="0" w:type="dxa"/>
        </w:tblCellMar>
      </w:tblPr>
      <w:tblGrid>
        <w:gridCol w:w="2355"/>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2009/10</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31 000</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33 690</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r>
      <w:tr>
        <w:tc>
          <w:tcPr>
            <w:tcW w:w="236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6 750</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19 500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28 000</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53 200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54 550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99 500</w:t>
            </w:r>
          </w:p>
        </w:tc>
      </w:tr>
    </w:tbl>
    <w:p>
      <w:pPr>
        <w:bidi w:val="0"/>
      </w:pPr>
      <w:r>
        <w:rPr>
          <w:rFonts w:ascii="Tahoma" w:hAnsi="Tahoma" w:cs="Tahoma" w:eastAsia="Tahoma"/>
        </w:rPr>
        <w:t/>
      </w:r>
    </w:p>
    <w:p>
      <w:pPr>
        <w:pStyle w:val="42"/>
        <w:ind w:right="-60"/>
        <w:bidi w:val="0"/>
      </w:pPr>
      <w:r>
        <w:t/>
      </w:r>
    </w:p>
    <w:p>
      <w:pPr>
        <w:pStyle w:val="42"/>
        <w:jc w:val="left"/>
        <w:ind w:right="-60"/>
        <w:bidi w:val="0"/>
        <w:spacing w:after="60"/>
      </w:pPr>
      <w:r>
        <w:rPr>
          <w:b/>
          <w:sz w:val="14"/>
        </w:rPr>
        <w:t>SORGHUM</w:t>
      </w:r>
      <w:r>
        <w:rPr>
          <w:sz w:val="14"/>
        </w:rPr>
        <w:t xml:space="preserve"> – PRELIMINARY AREA PLANTED ESTIMATE: 2009/10 PRODUCTION SEASON</w:t>
      </w:r>
    </w:p>
    <w:p>
      <w:pPr>
        <w:pStyle w:val="42"/>
        <w:jc w:val="left"/>
        <w:ind w:right="-60"/>
        <w:bidi w:val="0"/>
      </w:pPr>
      <w:r>
        <w:rPr>
          <w:b/>
          <w:sz w:val="14"/>
        </w:rPr>
        <w:t>SORGHUM</w:t>
      </w:r>
      <w:r>
        <w:rPr>
          <w:sz w:val="14"/>
        </w:rPr>
        <w:t xml:space="preserve"> – VOORLOPIGE OPPERVLAKTESKATTING: 2009/10 PRODUKSIESEISOEN</w:t>
      </w:r>
    </w:p>
    <w:p>
      <w:pPr>
        <w:jc w:val="both"/>
        <w:ind w:right="-795"/>
        <w:bidi w:val="0"/>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6230" w:type="dxa"/>
        <w:tblLayout w:type="fixed"/>
        <w:tblCellMar>
          <w:top w:w="0" w:type="dxa"/>
          <w:left w:w="0" w:type="dxa"/>
          <w:bottom w:w="0" w:type="dxa"/>
          <w:right w:w="0" w:type="dxa"/>
        </w:tblCellMar>
      </w:tblPr>
      <w:tblGrid>
        <w:gridCol w:w="2355"/>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2009/10</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170 500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14 000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276 500</w:t>
            </w:r>
          </w:p>
        </w:tc>
      </w:tr>
    </w:tbl>
    <w:p>
      <w:pPr>
        <w:bidi w:val="0"/>
      </w:pPr>
      <w:r>
        <w:rPr>
          <w:rFonts w:ascii="Tahoma" w:hAnsi="Tahoma" w:cs="Tahoma" w:eastAsia="Tahoma"/>
        </w:rPr>
        <w:t/>
      </w:r>
    </w:p>
    <w:p>
      <w:pPr>
        <w:pStyle w:val="42"/>
        <w:ind w:right="-60"/>
        <w:bidi w:val="0"/>
      </w:pPr>
      <w:r>
        <w:t/>
      </w:r>
    </w:p>
    <w:p>
      <w:pPr>
        <w:pStyle w:val="42"/>
        <w:jc w:val="left"/>
        <w:ind w:right="-60"/>
        <w:bidi w:val="0"/>
      </w:pPr>
      <w:r>
        <w:t/>
      </w:r>
    </w:p>
    <w:p>
      <w:pPr>
        <w:pStyle w:val="42"/>
        <w:jc w:val="left"/>
        <w:ind w:right="-60"/>
        <w:bidi w:val="0"/>
      </w:pPr>
      <w:r>
        <w:t/>
      </w:r>
    </w:p>
    <w:p>
      <w:pPr>
        <w:pStyle w:val="42"/>
        <w:jc w:val="left"/>
        <w:ind w:right="-60"/>
        <w:bidi w:val="0"/>
        <w:spacing w:after="60"/>
      </w:pPr>
      <w:r>
        <w:rPr>
          <w:b/>
          <w:sz w:val="14"/>
        </w:rPr>
        <w:t>DRY BEANS</w:t>
      </w:r>
      <w:r>
        <w:rPr>
          <w:sz w:val="14"/>
        </w:rPr>
        <w:t xml:space="preserve"> – PRELIMINARY AREA PLANTED ESTIMATE: 2009/10 PRODUCTION SEASON</w:t>
      </w:r>
    </w:p>
    <w:p>
      <w:pPr>
        <w:pStyle w:val="42"/>
        <w:jc w:val="left"/>
        <w:ind w:right="-60"/>
        <w:bidi w:val="0"/>
      </w:pPr>
      <w:r>
        <w:rPr>
          <w:b/>
          <w:sz w:val="14"/>
        </w:rPr>
        <w:t>DROëBONE</w:t>
      </w:r>
      <w:r>
        <w:rPr>
          <w:sz w:val="14"/>
        </w:rPr>
        <w:t xml:space="preserve"> – VOORLOPIGE OPPERVLAKTESKATTING: 2009/10 PRODUKSIESEISOEN</w:t>
      </w:r>
    </w:p>
    <w:p>
      <w:pPr>
        <w:pStyle w:val="42"/>
        <w:jc w:val="left"/>
        <w:ind w:right="-60"/>
        <w:bidi w:val="0"/>
      </w:pPr>
      <w:r>
        <w:t/>
      </w:r>
    </w:p>
    <w:p>
      <w:pPr>
        <w:bidi w:val="0"/>
      </w:pPr>
      <w:r>
        <w:rPr>
          <w:rFonts w:ascii="Tahoma" w:hAnsi="Tahoma" w:cs="Tahoma" w:eastAsia="Tahoma"/>
        </w:rPr>
        <w:t/>
      </w:r>
    </w:p>
    <w:tbl>
      <w:tblPr>
        <w:tblW w:w="6230" w:type="dxa"/>
        <w:tblLayout w:type="fixed"/>
        <w:tblCellMar>
          <w:top w:w="0" w:type="dxa"/>
          <w:left w:w="0" w:type="dxa"/>
          <w:bottom w:w="0" w:type="dxa"/>
          <w:right w:w="0" w:type="dxa"/>
        </w:tblCellMar>
      </w:tblPr>
      <w:tblGrid>
        <w:gridCol w:w="2355"/>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2009/10</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28 800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4 800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5 100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41 000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67 030</w:t>
            </w:r>
          </w:p>
        </w:tc>
      </w:tr>
    </w:tbl>
    <w:p>
      <w:pPr>
        <w:bidi w:val="0"/>
      </w:pPr>
      <w:r>
        <w:rPr>
          <w:rFonts w:ascii="Tahoma" w:hAnsi="Tahoma" w:cs="Tahoma" w:eastAsia="Tahoma"/>
        </w:rPr>
        <w:t/>
      </w:r>
    </w:p>
    <w:p>
      <w:pPr>
        <w:pStyle w:val="42"/>
        <w:ind w:right="-60"/>
        <w:bidi w:val="0"/>
      </w:pPr>
      <w:r>
        <w:t/>
      </w:r>
    </w:p>
    <w:p>
      <w:pPr>
        <w:bidi w:val="0"/>
      </w:pPr>
      <w:r>
        <w:rPr>
          <w:rFonts w:ascii="Tahoma" w:hAnsi="Tahoma" w:cs="Tahoma" w:eastAsia="Tahoma"/>
        </w:rPr>
        <w:t/>
      </w:r>
    </w:p>
    <w:p>
      <w:r>
        <w:br w:type="page"/>
      </w:r>
    </w:p>
    <w:p>
      <w:pPr>
        <w:bidi w:val="0"/>
      </w:pPr>
      <w:r>
        <w:rPr>
          <w:rFonts w:ascii="Tahoma" w:hAnsi="Tahoma" w:cs="Tahoma" w:eastAsia="Tahoma"/>
          <w:b/>
          <w:sz w:val="20"/>
        </w:rPr>
        <w:t/>
      </w:r>
    </w:p>
    <w:p>
      <w:pPr>
        <w:pStyle w:val="42"/>
        <w:ind w:right="-60"/>
        <w:bidi w:val="0"/>
      </w:pPr>
      <w:r>
        <w:t/>
      </w:r>
    </w:p>
    <w:p>
      <w:pPr>
        <w:pStyle w:val="42"/>
        <w:ind w:right="-60"/>
        <w:bidi w:val="0"/>
      </w:pPr>
      <w:r>
        <w:rPr>
          <w:b/>
          <w:sz w:val="20"/>
        </w:rPr>
        <w:t>PRELIMINARY AREA ESTIMATE OF SUMMER CROPS/</w:t>
      </w:r>
      <w:r>
        <w:br/>
      </w:r>
      <w:r>
        <w:rPr>
          <w:b/>
          <w:sz w:val="20"/>
        </w:rPr>
        <w:t>VOORLOPIGE OPPERVLAKTESKATTING VIR SOMERGEWASSE</w:t>
      </w:r>
    </w:p>
    <w:p>
      <w:pPr>
        <w:pStyle w:val="42"/>
        <w:bidi w:val="0"/>
      </w:pPr>
      <w:r>
        <w:rPr>
          <w:b/>
          <w:sz w:val="20"/>
        </w:rPr>
        <w:t>21 JANUARY / JANUARIE 2010</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575"/>
        <w:gridCol w:w="360"/>
        <w:gridCol w:w="7920"/>
      </w:tblGrid>
      <w:tr>
        <w:tc>
          <w:tcPr>
            <w:tcW w:w="7580" w:type="dxa"/>
            <w:shd w:val="clear" w:color="auto" w:fill="FFFFFF"/>
          </w:tcPr>
          <w:p>
            <w:r>
              <w:br w:type="page"/>
            </w:r>
          </w:p>
          <w:p>
            <w:pPr>
              <w:jc w:val="both"/>
              <w:ind w:left="75" w:right="75"/>
              <w:bidi w:val="0"/>
              <w:spacing w:after="135"/>
            </w:pPr>
            <w:r>
              <w:rPr>
                <w:rFonts w:ascii="Tahoma" w:hAnsi="Tahoma" w:cs="Tahoma" w:eastAsia="Tahoma"/>
                <w:b/>
                <w:u w:val="single"/>
                <w:sz w:val="16"/>
              </w:rPr>
              <w:t>Summer field crops – 2009/10 production season</w:t>
            </w:r>
          </w:p>
          <w:p>
            <w:pPr>
              <w:ind w:right="-795" w:firstLine="75"/>
              <w:bidi w:val="0"/>
              <w:spacing w:after="105"/>
              <w:tabs>
                <w:tab w:val="clear" w:pos="-2130"/>
                <w:tab w:val="clear" w:pos="-1410"/>
                <w:tab w:val="left" w:pos="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The preliminary area estimate is based on inputs at the middle of January 2010 from:</w:t>
            </w:r>
          </w:p>
          <w:p>
            <w:pPr>
              <w:ind w:right="-795"/>
              <w:bidi w:val="0"/>
              <w:tabs>
                <w:tab w:val="clear" w:pos="-2130"/>
                <w:tab w:val="clear" w:pos="-1410"/>
                <w:tab w:val="clear" w:pos="0"/>
                <w:tab w:val="clear" w:pos="495"/>
                <w:tab w:val="clear" w:pos="72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1"/>
              </w:numPr>
            </w:pPr>
            <w:r/>
            <w:r>
              <w:rPr>
                <w:rFonts w:ascii="Tahoma" w:hAnsi="Tahoma" w:cs="Tahoma" w:eastAsia="Tahoma"/>
                <w:sz w:val="16"/>
              </w:rPr>
              <w:t>A survey conducted by the Department of Agriculture, Forestry and Fisheries; and</w:t>
            </w:r>
          </w:p>
          <w:p>
            <w:pPr>
              <w:ind w:right="-795"/>
              <w:bidi w:val="0"/>
              <w:spacing w:after="135"/>
              <w:tabs>
                <w:tab w:val="clear" w:pos="-2130"/>
                <w:tab w:val="clear" w:pos="-1410"/>
                <w:tab w:val="clear" w:pos="0"/>
                <w:tab w:val="clear" w:pos="495"/>
                <w:tab w:val="clear" w:pos="72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1"/>
              </w:numPr>
            </w:pPr>
            <w:r/>
            <w:r>
              <w:rPr>
                <w:rFonts w:ascii="Tahoma" w:hAnsi="Tahoma" w:cs="Tahoma" w:eastAsia="Tahoma"/>
                <w:sz w:val="16"/>
              </w:rPr>
              <w:t>Inputs by representatives of the Provincial Departments of Agriculture.</w:t>
            </w:r>
          </w:p>
          <w:p>
            <w:pPr>
              <w:jc w:val="both"/>
              <w:ind w:left="90" w:right="90"/>
              <w:bidi w:val="0"/>
              <w:spacing w:after="135"/>
            </w:pPr>
            <w:r>
              <w:rPr>
                <w:rFonts w:ascii="Tahoma" w:hAnsi="Tahoma" w:cs="Tahoma" w:eastAsia="Tahoma"/>
                <w:b/>
                <w:u w:val="single"/>
                <w:sz w:val="16"/>
              </w:rPr>
              <w:t>Commercial maize</w:t>
            </w:r>
            <w:r>
              <w:rPr>
                <w:rFonts w:ascii="Tahoma" w:hAnsi="Tahoma" w:cs="Tahoma" w:eastAsia="Tahoma"/>
                <w:sz w:val="16"/>
              </w:rPr>
              <w:t>: The preliminary area estimate for maize is 2,627 mill. ha, which is 8,23% or 199  700 ha more than the 2,428 mill. ha planted for the previous season, and 2,15% more than the intentions to plant figure of 2,572 mill. ha released during October 2009.</w:t>
            </w:r>
          </w:p>
          <w:p>
            <w:pPr>
              <w:jc w:val="both"/>
              <w:ind w:left="90" w:right="90"/>
              <w:bidi w:val="0"/>
              <w:spacing w:after="135"/>
            </w:pPr>
            <w:r>
              <w:rPr>
                <w:rFonts w:ascii="Tahoma" w:hAnsi="Tahoma" w:cs="Tahoma" w:eastAsia="Tahoma"/>
                <w:sz w:val="16"/>
              </w:rPr>
              <w:t>The area estimate for white maize is 1,652 mill. ha, which represents an increase of 10,93% or 162  700 ha compared to the 1,489 mill. ha planted last season.  In the case of yellow maize the area estimate is 975  500 ha, which is 3,94% or 37  000 ha more than the 938 500 ha planted last season.</w:t>
            </w:r>
          </w:p>
          <w:p>
            <w:pPr>
              <w:jc w:val="both"/>
              <w:ind w:left="90" w:right="90"/>
              <w:bidi w:val="0"/>
              <w:spacing w:after="135"/>
            </w:pPr>
            <w:r>
              <w:rPr>
                <w:rFonts w:ascii="Tahoma" w:hAnsi="Tahoma" w:cs="Tahoma" w:eastAsia="Tahoma"/>
                <w:sz w:val="16"/>
              </w:rPr>
              <w:t>The majority of South Africa's maize is planted in the Free State, North West and Mpumalanga provinces.  The expected plantings of maize in the Free State are 1,040 mill. ha - an increase of 8,90% in comparison with 955 000 ha in 2008/09.  The expected plantings of maize in North West also increased by 12,95%, from 695  000 ha to 785  000 ha, and in Mpumalanga by 4,82%, from 477  000 ha to 500  000 ha, compared to the plantings in the 2008/09 season.</w:t>
            </w:r>
          </w:p>
          <w:p>
            <w:pPr>
              <w:jc w:val="both"/>
              <w:ind w:left="90" w:right="90"/>
              <w:bidi w:val="0"/>
              <w:spacing w:after="135"/>
            </w:pPr>
            <w:r>
              <w:rPr>
                <w:rFonts w:ascii="Tahoma" w:hAnsi="Tahoma" w:cs="Tahoma" w:eastAsia="Tahoma"/>
                <w:b/>
                <w:u w:val="single"/>
                <w:sz w:val="16"/>
              </w:rPr>
              <w:t>Sunflower seed</w:t>
            </w:r>
            <w:r>
              <w:rPr>
                <w:rFonts w:ascii="Tahoma" w:hAnsi="Tahoma" w:cs="Tahoma" w:eastAsia="Tahoma"/>
                <w:sz w:val="16"/>
              </w:rPr>
              <w:t>: The preliminary area estimate for sunflower seed is 426  700 ha, which is about 32,89% less than the 635  800 ha planted the previous season.</w:t>
            </w:r>
          </w:p>
          <w:p>
            <w:pPr>
              <w:jc w:val="both"/>
              <w:ind w:left="90" w:right="90"/>
              <w:bidi w:val="0"/>
              <w:spacing w:after="135"/>
            </w:pPr>
            <w:r>
              <w:rPr>
                <w:rFonts w:ascii="Tahoma" w:hAnsi="Tahoma" w:cs="Tahoma" w:eastAsia="Tahoma"/>
                <w:b/>
                <w:u w:val="single"/>
                <w:sz w:val="16"/>
              </w:rPr>
              <w:t>Other crops</w:t>
            </w:r>
            <w:r>
              <w:rPr>
                <w:rFonts w:ascii="Tahoma" w:hAnsi="Tahoma" w:cs="Tahoma" w:eastAsia="Tahoma"/>
                <w:sz w:val="16"/>
              </w:rPr>
              <w:t xml:space="preserve">: It is estimated that 274  850 ha have been planted to </w:t>
            </w:r>
            <w:r>
              <w:rPr>
                <w:rFonts w:ascii="Tahoma" w:hAnsi="Tahoma" w:cs="Tahoma" w:eastAsia="Tahoma"/>
                <w:b/>
                <w:sz w:val="16"/>
              </w:rPr>
              <w:t>soya-beans</w:t>
            </w:r>
            <w:r>
              <w:rPr>
                <w:rFonts w:ascii="Tahoma" w:hAnsi="Tahoma" w:cs="Tahoma" w:eastAsia="Tahoma"/>
                <w:sz w:val="16"/>
              </w:rPr>
              <w:t>, which represents an increase of 15,60% compared to the 237  750 ha planted last season. This is the highest area ever planted to soya-beans.</w:t>
            </w:r>
          </w:p>
          <w:p>
            <w:pPr>
              <w:jc w:val="both"/>
              <w:ind w:left="90" w:right="90"/>
              <w:bidi w:val="0"/>
              <w:spacing w:after="135"/>
            </w:pPr>
            <w:r>
              <w:rPr>
                <w:rFonts w:ascii="Tahoma" w:hAnsi="Tahoma" w:cs="Tahoma" w:eastAsia="Tahoma"/>
                <w:sz w:val="16"/>
              </w:rPr>
              <w:t xml:space="preserve">For </w:t>
            </w:r>
            <w:r>
              <w:rPr>
                <w:rFonts w:ascii="Tahoma" w:hAnsi="Tahoma" w:cs="Tahoma" w:eastAsia="Tahoma"/>
                <w:b/>
                <w:sz w:val="16"/>
              </w:rPr>
              <w:t>groundnuts</w:t>
            </w:r>
            <w:r>
              <w:rPr>
                <w:rFonts w:ascii="Tahoma" w:hAnsi="Tahoma" w:cs="Tahoma" w:eastAsia="Tahoma"/>
                <w:sz w:val="16"/>
              </w:rPr>
              <w:t xml:space="preserve"> the area estimate is 53  200 ha, which is 2,47% less than the 54  550 ha planted for the previous season.</w:t>
            </w:r>
          </w:p>
          <w:p>
            <w:pPr>
              <w:jc w:val="both"/>
              <w:ind w:left="90" w:right="90"/>
              <w:bidi w:val="0"/>
              <w:spacing w:after="135"/>
            </w:pPr>
            <w:r>
              <w:rPr>
                <w:rFonts w:ascii="Tahoma" w:hAnsi="Tahoma" w:cs="Tahoma" w:eastAsia="Tahoma"/>
                <w:sz w:val="16"/>
              </w:rPr>
              <w:t xml:space="preserve">The area estimate for </w:t>
            </w:r>
            <w:r>
              <w:rPr>
                <w:rFonts w:ascii="Tahoma" w:hAnsi="Tahoma" w:cs="Tahoma" w:eastAsia="Tahoma"/>
                <w:b/>
                <w:sz w:val="16"/>
              </w:rPr>
              <w:t>sorghum</w:t>
            </w:r>
            <w:r>
              <w:rPr>
                <w:rFonts w:ascii="Tahoma" w:hAnsi="Tahoma" w:cs="Tahoma" w:eastAsia="Tahoma"/>
                <w:sz w:val="16"/>
              </w:rPr>
              <w:t xml:space="preserve"> decreased by 19,30%, from 85  500 ha to 69  000 ha against the previous season.</w:t>
            </w:r>
          </w:p>
          <w:p>
            <w:pPr>
              <w:jc w:val="both"/>
              <w:ind w:left="90" w:right="90"/>
              <w:bidi w:val="0"/>
              <w:spacing w:after="135"/>
            </w:pPr>
            <w:r>
              <w:rPr>
                <w:rFonts w:ascii="Tahoma" w:hAnsi="Tahoma" w:cs="Tahoma" w:eastAsia="Tahoma"/>
                <w:sz w:val="16"/>
              </w:rPr>
              <w:t xml:space="preserve">In the case of </w:t>
            </w:r>
            <w:r>
              <w:rPr>
                <w:rFonts w:ascii="Tahoma" w:hAnsi="Tahoma" w:cs="Tahoma" w:eastAsia="Tahoma"/>
                <w:b/>
                <w:sz w:val="16"/>
              </w:rPr>
              <w:t>dry beans</w:t>
            </w:r>
            <w:r>
              <w:rPr>
                <w:rFonts w:ascii="Tahoma" w:hAnsi="Tahoma" w:cs="Tahoma" w:eastAsia="Tahoma"/>
                <w:sz w:val="16"/>
              </w:rPr>
              <w:t xml:space="preserve"> the area estimate is 41  000 ha or 6,39% less than the 43  800 ha planted the previous season.</w:t>
            </w:r>
          </w:p>
          <w:p>
            <w:pPr>
              <w:jc w:val="both"/>
              <w:ind w:left="90" w:right="90"/>
              <w:bidi w:val="0"/>
              <w:spacing w:after="135"/>
            </w:pPr>
            <w:r>
              <w:rPr>
                <w:rFonts w:ascii="Tahoma" w:hAnsi="Tahoma" w:cs="Tahoma" w:eastAsia="Tahoma"/>
                <w:sz w:val="16"/>
              </w:rPr>
              <w:t>The current weather conditions could still have an impact on the final areas planted for all crops.</w:t>
            </w:r>
          </w:p>
          <w:p>
            <w:pPr>
              <w:jc w:val="both"/>
              <w:ind w:left="90" w:right="90"/>
              <w:bidi w:val="0"/>
              <w:spacing w:after="135"/>
            </w:pPr>
            <w:r>
              <w:rPr>
                <w:rFonts w:ascii="Tahoma" w:hAnsi="Tahoma" w:cs="Tahoma" w:eastAsia="Tahoma"/>
                <w:b/>
                <w:sz w:val="16"/>
              </w:rPr>
              <w:t>Please note that the revised area estimate and first production forecast for summer field crops for the 2009/10 production season will be released on 23 February 2010.</w:t>
            </w:r>
          </w:p>
        </w:tc>
        <w:tc>
          <w:tcPr>
            <w:tcW w:w="360" w:type="dxa"/>
            <w:shd w:val="clear" w:color="auto" w:fill="FFFFFF"/>
          </w:tcPr>
          <w:p>
            <w:pPr>
              <w:jc w:val="both"/>
              <w:ind w:left="90" w:right="90"/>
              <w:bidi w:val="0"/>
              <w:spacing w:after="135"/>
            </w:pPr>
            <w:r>
              <w:rPr>
                <w:rFonts w:ascii="Tahoma" w:hAnsi="Tahoma" w:cs="Tahoma" w:eastAsia="Tahoma"/>
              </w:rPr>
              <w:t/>
            </w:r>
          </w:p>
          <w:p>
            <w:pPr>
              <w:jc w:val="both"/>
              <w:bidi w:val="0"/>
              <w:spacing w:after="135"/>
            </w:pPr>
            <w:r>
              <w:rPr>
                <w:rFonts w:ascii="Tahoma" w:hAnsi="Tahoma" w:cs="Tahoma" w:eastAsia="Tahoma"/>
              </w:rPr>
              <w:t/>
            </w:r>
          </w:p>
        </w:tc>
        <w:tc>
          <w:tcPr>
            <w:tcW w:w="7920" w:type="dxa"/>
            <w:shd w:val="clear" w:color="auto" w:fill="FFFFFF"/>
          </w:tcPr>
          <w:p>
            <w:pPr>
              <w:pStyle w:val="16"/>
              <w:jc w:val="both"/>
              <w:ind w:left="75" w:right="75"/>
              <w:bidi w:val="0"/>
              <w:spacing w:after="135"/>
              <w:tabs>
                <w:tab w:val="left" w:pos="6645"/>
              </w:tabs>
            </w:pPr>
            <w:r>
              <w:rPr>
                <w:rFonts w:ascii="Tahoma" w:hAnsi="Tahoma" w:cs="Tahoma" w:eastAsia="Tahoma"/>
                <w:b/>
                <w:u w:val="single"/>
                <w:sz w:val="16"/>
              </w:rPr>
              <w:t>Somergewasse – 2009/10 produksie-seisoen</w:t>
            </w:r>
          </w:p>
          <w:p>
            <w:pPr>
              <w:pStyle w:val="16"/>
              <w:jc w:val="both"/>
              <w:ind w:left="75" w:right="75"/>
              <w:bidi w:val="0"/>
              <w:spacing w:after="105"/>
              <w:tabs>
                <w:tab w:val="left" w:pos="6645"/>
              </w:tabs>
            </w:pPr>
            <w:r>
              <w:rPr>
                <w:rFonts w:ascii="Tahoma" w:hAnsi="Tahoma" w:cs="Tahoma" w:eastAsia="Tahoma"/>
                <w:sz w:val="16"/>
              </w:rPr>
              <w:t>Die voorlopige oppervlakteskatting is gebaseer op insette soos teen die middel van Januarie 2010 van:</w:t>
            </w:r>
          </w:p>
          <w:p>
            <w:pPr>
              <w:ind w:right="75"/>
              <w:bidi w:val="0"/>
              <w:tabs>
                <w:tab w:val="clear" w:pos="-2130"/>
                <w:tab w:val="clear" w:pos="-1410"/>
                <w:tab w:val="clear" w:pos="0"/>
                <w:tab w:val="clear" w:pos="495"/>
                <w:tab w:val="clear" w:pos="72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2"/>
              </w:numPr>
            </w:pPr>
            <w:r/>
            <w:r>
              <w:rPr>
                <w:rFonts w:ascii="Tahoma" w:hAnsi="Tahoma" w:cs="Tahoma" w:eastAsia="Tahoma"/>
                <w:sz w:val="16"/>
              </w:rPr>
              <w:t>Gebaseer op ’n opname deur die Departement van Landbou, Bosbou en Visserye; en</w:t>
            </w:r>
          </w:p>
          <w:p>
            <w:pPr>
              <w:ind w:right="75"/>
              <w:bidi w:val="0"/>
              <w:spacing w:after="135"/>
              <w:tabs>
                <w:tab w:val="clear" w:pos="-2130"/>
                <w:tab w:val="clear" w:pos="-1410"/>
                <w:tab w:val="clear" w:pos="0"/>
                <w:tab w:val="clear" w:pos="495"/>
                <w:tab w:val="clear" w:pos="72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2"/>
              </w:numPr>
            </w:pPr>
            <w:r/>
            <w:r>
              <w:rPr>
                <w:rFonts w:ascii="Tahoma" w:hAnsi="Tahoma" w:cs="Tahoma" w:eastAsia="Tahoma"/>
                <w:sz w:val="16"/>
              </w:rPr>
              <w:t>Insette van verteenwoordigers van Provinsiale Departemente van Landbou.</w:t>
            </w:r>
          </w:p>
          <w:p>
            <w:pPr>
              <w:jc w:val="both"/>
              <w:ind w:left="90" w:right="75"/>
              <w:bidi w:val="0"/>
              <w:spacing w:after="135"/>
            </w:pPr>
            <w:r>
              <w:rPr>
                <w:rFonts w:ascii="Tahoma" w:hAnsi="Tahoma" w:cs="Tahoma" w:eastAsia="Tahoma"/>
                <w:b/>
                <w:u w:val="single"/>
                <w:sz w:val="16"/>
              </w:rPr>
              <w:t>Kommersiële mielies:</w:t>
            </w:r>
            <w:r>
              <w:rPr>
                <w:rFonts w:ascii="Tahoma" w:hAnsi="Tahoma" w:cs="Tahoma" w:eastAsia="Tahoma"/>
                <w:sz w:val="16"/>
              </w:rPr>
              <w:t xml:space="preserve"> Die voorlopige skatting van die oppervlakte onder mielies beloop 2,627 milj. ha, wat 8,23% of 199  700 ha meer is as die 2,428 milj. ha wat verlede seisoen aangeplant is, en 2,15% meer as die voornemens om te plant syfer van 2,572 milj. ha soos vrygestel gedurende Oktober 2009.</w:t>
            </w:r>
          </w:p>
          <w:p>
            <w:pPr>
              <w:jc w:val="both"/>
              <w:ind w:left="90" w:right="75"/>
              <w:bidi w:val="0"/>
              <w:spacing w:after="135"/>
            </w:pPr>
            <w:r>
              <w:rPr>
                <w:rFonts w:ascii="Tahoma" w:hAnsi="Tahoma" w:cs="Tahoma" w:eastAsia="Tahoma"/>
                <w:sz w:val="16"/>
              </w:rPr>
              <w:t>Die oppervlak onder witmielies is 1,652 milj. ha, wat ‘n toename van 10,93% of 162  700 ha verteenwoordig vergeleke met die 1,489 milj. ha die vorige seisoen. In die geval van geelmielies is die oppervlakteskatting 975  500 ha, 3,94% of 37  000 ha minder as die 938 500 ha geplant die vorige seisoen.</w:t>
            </w:r>
          </w:p>
          <w:p>
            <w:pPr>
              <w:jc w:val="both"/>
              <w:ind w:left="90" w:right="75"/>
              <w:bidi w:val="0"/>
              <w:spacing w:after="135"/>
              <w:tabs>
                <w:tab w:val="left" w:pos="6645"/>
              </w:tabs>
            </w:pPr>
            <w:r>
              <w:rPr>
                <w:rFonts w:ascii="Tahoma" w:hAnsi="Tahoma" w:cs="Tahoma" w:eastAsia="Tahoma"/>
                <w:sz w:val="16"/>
              </w:rPr>
              <w:t>Die meerderheid van Suid-Afrika se mielies word in die Vrystaat, Noordwes en Mpumalanga provinsies verbou.  Verwagte mielie-aanplantings in die Vrystaat beloop 1,040 milj. ha – ’n toename van 8,90% in vergelyking met 955 000 ha in 2008/09.  Die verwagte aanplantings van mielies in Noordwes toon ook ’n toename van 12,95%, van 695 000 ha tot 785  000 ha, en in Mpumalanga met 4,82%, van 477  000 ha tot 500  000 ha, in vergelyking met die aanplantings in die 2008/09 seisoen.</w:t>
            </w:r>
          </w:p>
          <w:p>
            <w:pPr>
              <w:jc w:val="both"/>
              <w:ind w:left="90" w:right="75"/>
              <w:bidi w:val="0"/>
              <w:spacing w:after="135"/>
              <w:tabs>
                <w:tab w:val="left" w:pos="6645"/>
              </w:tabs>
            </w:pPr>
            <w:r>
              <w:rPr>
                <w:rFonts w:ascii="Tahoma" w:hAnsi="Tahoma" w:cs="Tahoma" w:eastAsia="Tahoma"/>
                <w:b/>
                <w:u w:val="single"/>
                <w:sz w:val="16"/>
              </w:rPr>
              <w:t>Sonneblomsaad</w:t>
            </w:r>
            <w:r>
              <w:rPr>
                <w:rFonts w:ascii="Tahoma" w:hAnsi="Tahoma" w:cs="Tahoma" w:eastAsia="Tahoma"/>
                <w:b/>
                <w:sz w:val="16"/>
              </w:rPr>
              <w:t>:</w:t>
            </w:r>
            <w:r>
              <w:rPr>
                <w:rFonts w:ascii="Tahoma" w:hAnsi="Tahoma" w:cs="Tahoma" w:eastAsia="Tahoma"/>
                <w:sz w:val="16"/>
              </w:rPr>
              <w:t xml:space="preserve"> Die voorlopige oppervlakteskatting vir sonneblomsaad is 426  700 ha, wat omtrent 32,89% minder is as die 635  800 ha aangeplant die vorige seisoen.</w:t>
            </w:r>
          </w:p>
          <w:p>
            <w:pPr>
              <w:jc w:val="both"/>
              <w:ind w:left="90" w:right="75"/>
              <w:bidi w:val="0"/>
              <w:spacing w:after="135"/>
              <w:tabs>
                <w:tab w:val="left" w:pos="6645"/>
              </w:tabs>
            </w:pPr>
            <w:r>
              <w:rPr>
                <w:rFonts w:ascii="Tahoma" w:hAnsi="Tahoma" w:cs="Tahoma" w:eastAsia="Tahoma"/>
                <w:b/>
                <w:u w:val="single"/>
                <w:sz w:val="16"/>
              </w:rPr>
              <w:t>Ander gewasse:</w:t>
            </w:r>
            <w:r>
              <w:rPr>
                <w:rFonts w:ascii="Tahoma" w:hAnsi="Tahoma" w:cs="Tahoma" w:eastAsia="Tahoma"/>
                <w:sz w:val="16"/>
              </w:rPr>
              <w:t xml:space="preserve"> Die geskatte oppervlakte beplant met </w:t>
            </w:r>
            <w:r>
              <w:rPr>
                <w:rFonts w:ascii="Tahoma" w:hAnsi="Tahoma" w:cs="Tahoma" w:eastAsia="Tahoma"/>
                <w:b/>
                <w:sz w:val="16"/>
              </w:rPr>
              <w:t>sojabone</w:t>
            </w:r>
            <w:r>
              <w:rPr>
                <w:rFonts w:ascii="Tahoma" w:hAnsi="Tahoma" w:cs="Tahoma" w:eastAsia="Tahoma"/>
                <w:sz w:val="16"/>
              </w:rPr>
              <w:t xml:space="preserve"> is 274  850 ha, wat ’n toename van 15,60% verteenwoordig vergeleke met die 237  750 ha geplant die vorige seisoen. Hierdie is die hoogste oppervlakte nog ooit beplant met sojabone.</w:t>
            </w:r>
          </w:p>
          <w:p>
            <w:pPr>
              <w:jc w:val="both"/>
              <w:ind w:left="90" w:right="75"/>
              <w:bidi w:val="0"/>
              <w:spacing w:after="135"/>
              <w:tabs>
                <w:tab w:val="left" w:pos="6645"/>
              </w:tabs>
            </w:pPr>
            <w:r>
              <w:rPr>
                <w:rFonts w:ascii="Tahoma" w:hAnsi="Tahoma" w:cs="Tahoma" w:eastAsia="Tahoma"/>
                <w:sz w:val="16"/>
              </w:rPr>
              <w:t xml:space="preserve">Vir </w:t>
            </w:r>
            <w:r>
              <w:rPr>
                <w:rFonts w:ascii="Tahoma" w:hAnsi="Tahoma" w:cs="Tahoma" w:eastAsia="Tahoma"/>
                <w:b/>
                <w:sz w:val="16"/>
              </w:rPr>
              <w:t>grondbone</w:t>
            </w:r>
            <w:r>
              <w:rPr>
                <w:rFonts w:ascii="Tahoma" w:hAnsi="Tahoma" w:cs="Tahoma" w:eastAsia="Tahoma"/>
                <w:sz w:val="16"/>
              </w:rPr>
              <w:t xml:space="preserve"> is die oppervlakteskatting 53  200 ha, wat 2,47% minder is as die 54  550 ha geplant vir die vorige seisoen.</w:t>
            </w:r>
          </w:p>
          <w:p>
            <w:pPr>
              <w:jc w:val="both"/>
              <w:ind w:left="90" w:right="75"/>
              <w:bidi w:val="0"/>
              <w:spacing w:after="135"/>
              <w:tabs>
                <w:tab w:val="left" w:pos="6645"/>
              </w:tabs>
            </w:pPr>
            <w:r>
              <w:rPr>
                <w:rFonts w:ascii="Tahoma" w:hAnsi="Tahoma" w:cs="Tahoma" w:eastAsia="Tahoma"/>
                <w:sz w:val="16"/>
              </w:rPr>
              <w:t xml:space="preserve">Die oppervlakteskatting vir </w:t>
            </w:r>
            <w:r>
              <w:rPr>
                <w:rFonts w:ascii="Tahoma" w:hAnsi="Tahoma" w:cs="Tahoma" w:eastAsia="Tahoma"/>
                <w:b/>
                <w:sz w:val="16"/>
              </w:rPr>
              <w:t>sorghum</w:t>
            </w:r>
            <w:r>
              <w:rPr>
                <w:rFonts w:ascii="Tahoma" w:hAnsi="Tahoma" w:cs="Tahoma" w:eastAsia="Tahoma"/>
                <w:sz w:val="16"/>
              </w:rPr>
              <w:t xml:space="preserve"> het gedaal met 19,30%, van 85  500 ha tot 69  000 ha teenoor die vorige seisoen.</w:t>
            </w:r>
          </w:p>
          <w:p>
            <w:pPr>
              <w:jc w:val="both"/>
              <w:ind w:left="90" w:right="75"/>
              <w:bidi w:val="0"/>
              <w:spacing w:after="135"/>
              <w:tabs>
                <w:tab w:val="left" w:pos="6645"/>
              </w:tabs>
            </w:pPr>
            <w:r>
              <w:rPr>
                <w:rFonts w:ascii="Tahoma" w:hAnsi="Tahoma" w:cs="Tahoma" w:eastAsia="Tahoma"/>
                <w:sz w:val="16"/>
              </w:rPr>
              <w:t xml:space="preserve">In die geval van </w:t>
            </w:r>
            <w:r>
              <w:rPr>
                <w:rFonts w:ascii="Tahoma" w:hAnsi="Tahoma" w:cs="Tahoma" w:eastAsia="Tahoma"/>
                <w:b/>
                <w:sz w:val="16"/>
              </w:rPr>
              <w:t>droëbone</w:t>
            </w:r>
            <w:r>
              <w:rPr>
                <w:rFonts w:ascii="Tahoma" w:hAnsi="Tahoma" w:cs="Tahoma" w:eastAsia="Tahoma"/>
                <w:sz w:val="16"/>
              </w:rPr>
              <w:t xml:space="preserve"> is die geskatte oppervlakte beplant 41  000 ha of 6,39% minder as die 43  800 ha die vorige seisoen geplant.</w:t>
            </w:r>
          </w:p>
          <w:p>
            <w:pPr>
              <w:jc w:val="both"/>
              <w:ind w:left="90" w:right="75"/>
              <w:bidi w:val="0"/>
              <w:spacing w:after="135"/>
              <w:tabs>
                <w:tab w:val="left" w:pos="6645"/>
              </w:tabs>
            </w:pPr>
            <w:r>
              <w:rPr>
                <w:rFonts w:ascii="Tahoma" w:hAnsi="Tahoma" w:cs="Tahoma" w:eastAsia="Tahoma"/>
                <w:sz w:val="16"/>
              </w:rPr>
              <w:t>Die huidige weerstoestande kan nog ’n invloed uitoefen op die finale oppervlaktes beplant vir all gewasse.</w:t>
            </w:r>
          </w:p>
          <w:p>
            <w:pPr>
              <w:jc w:val="both"/>
              <w:ind w:left="90" w:right="75"/>
              <w:bidi w:val="0"/>
              <w:spacing w:after="135"/>
              <w:tabs>
                <w:tab w:val="left" w:pos="6645"/>
              </w:tabs>
            </w:pPr>
            <w:r>
              <w:rPr>
                <w:rFonts w:ascii="Tahoma" w:hAnsi="Tahoma" w:cs="Tahoma" w:eastAsia="Tahoma"/>
                <w:b/>
                <w:sz w:val="16"/>
              </w:rPr>
              <w:t>Neem asseblief kennis dat die hersiene oppervlakte- en eerste produksieskatting vir somergewasse vir 2009/10, op 23  Februarie 2010 vrygestel sal word.</w:t>
            </w:r>
          </w:p>
        </w:tc>
      </w:tr>
    </w:tbl>
    <w:p>
      <w:pPr>
        <w:bidi w:val="0"/>
      </w:pPr>
      <w:r>
        <w:rPr>
          <w:rFonts w:ascii="Tahoma" w:hAnsi="Tahoma" w:cs="Tahoma" w:eastAsia="Tahoma"/>
        </w:rPr>
        <w:t/>
      </w:r>
    </w:p>
    <w:p>
      <w:pPr>
        <w:bidi w:val="0"/>
      </w:pPr>
      <w:r>
        <w:t/>
      </w:r>
    </w:p>
    <w:p>
      <w:pPr>
        <w:bidi w:val="0"/>
      </w:pPr>
      <w:r>
        <w:rPr>
          <w:rFonts w:ascii="Tahoma" w:hAnsi="Tahoma" w:cs="Tahoma" w:eastAsia="Tahoma"/>
        </w:rPr>
        <w:t/>
      </w:r>
    </w:p>
    <w:tbl>
      <w:tblPr>
        <w:tblW w:w="16110" w:type="dxa"/>
        <w:tblLayout w:type="fixed"/>
        <w:tblBorders>
          <w:top w:val="single" w:sz="6" w:color="auto"/>
        </w:tblBorders>
        <w:tblCellMar>
          <w:top w:w="0" w:type="dxa"/>
          <w:left w:w="0" w:type="dxa"/>
          <w:bottom w:w="0" w:type="dxa"/>
          <w:right w:w="0" w:type="dxa"/>
        </w:tblCellMar>
        <w:tblInd w:w="-180" w:type="dxa"/>
      </w:tblPr>
      <w:tblGrid>
        <w:gridCol w:w="7575"/>
        <w:gridCol w:w="570"/>
        <w:gridCol w:w="7920"/>
      </w:tblGrid>
      <w:tr>
        <w:tc>
          <w:tcPr>
            <w:tcW w:w="7580" w:type="dxa"/>
            <w:shd w:val="clear" w:color="auto" w:fill="FFFFFF"/>
          </w:tcPr>
          <w:p>
            <w:pPr>
              <w:jc w:val="both"/>
              <w:ind w:left="255" w:right="255"/>
              <w:bidi w:val="0"/>
              <w:spacing w:before="75" w:after="120"/>
            </w:pPr>
            <w:r>
              <w:rPr>
                <w:rFonts w:ascii="Tahoma" w:hAnsi="Tahoma" w:cs="Tahoma" w:eastAsia="Tahoma"/>
                <w:b/>
                <w:sz w:val="16"/>
              </w:rPr>
              <w:t>Information is available on the internet at http://</w:t>
            </w:r>
            <w:hyperlink r:id="hrId3">
              <w:r>
                <w:rPr>
                  <w:rFonts w:ascii="Tahoma" w:hAnsi="Tahoma" w:cs="Tahoma" w:eastAsia="Tahoma"/>
                  <w:b/>
                  <w:sz w:val="16"/>
                </w:rPr>
                <w:t>www.daff.gov.za/links/crop estimates</w:t>
              </w:r>
            </w:hyperlink>
            <w:r>
              <w:rPr>
                <w:rFonts w:ascii="Tahoma" w:hAnsi="Tahoma" w:cs="Tahoma" w:eastAsia="Tahoma"/>
                <w:b/>
                <w:sz w:val="16"/>
              </w:rPr>
              <w:t xml:space="preserve"> or </w:t>
            </w:r>
            <w:hyperlink r:id="hrId4">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570" w:type="dxa"/>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920" w:type="dxa"/>
            <w:shd w:val="clear" w:color="auto" w:fill="FFFFFF"/>
          </w:tcPr>
          <w:p>
            <w:pPr>
              <w:jc w:val="both"/>
              <w:ind w:left="255" w:right="255"/>
              <w:bidi w:val="0"/>
              <w:spacing w:before="75" w:after="120"/>
            </w:pPr>
            <w:r>
              <w:rPr>
                <w:rFonts w:ascii="Tahoma" w:hAnsi="Tahoma" w:cs="Tahoma" w:eastAsia="Tahoma"/>
                <w:b/>
                <w:sz w:val="16"/>
              </w:rPr>
              <w:t>Inligting is beskikbaar op die internet by http://</w:t>
            </w:r>
            <w:hyperlink r:id="hrId5">
              <w:r>
                <w:rPr>
                  <w:rFonts w:ascii="Tahoma" w:hAnsi="Tahoma" w:cs="Tahoma" w:eastAsia="Tahoma"/>
                  <w:b/>
                  <w:sz w:val="16"/>
                </w:rPr>
                <w:t>www.daff.gov.za/links/crop estimates</w:t>
              </w:r>
            </w:hyperlink>
            <w:r>
              <w:rPr>
                <w:rFonts w:ascii="Tahoma" w:hAnsi="Tahoma" w:cs="Tahoma" w:eastAsia="Tahoma"/>
                <w:b/>
                <w:sz w:val="16"/>
              </w:rPr>
              <w:t xml:space="preserve"> of by </w:t>
            </w:r>
            <w:hyperlink r:id="hrId6">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r>
        <w:br w:type="page"/>
      </w:r>
    </w:p>
    <w:p>
      <w:pPr>
        <w:ind w:right="615"/>
        <w:bidi w:val="0"/>
        <w:spacing w:before="75"/>
      </w:pPr>
      <w:r>
        <w:t/>
      </w:r>
    </w:p>
    <w:p>
      <w:pPr>
        <w:ind w:right="615"/>
        <w:bidi w:val="0"/>
        <w:spacing w:before="75"/>
      </w:pPr>
      <w:r>
        <w:t/>
      </w:r>
    </w:p>
    <w:p>
      <w:pPr>
        <w:ind w:right="615"/>
        <w:bidi w:val="0"/>
        <w:spacing w:before="75"/>
      </w:pPr>
      <w:r>
        <w:t/>
      </w:r>
    </w:p>
    <w:p>
      <w:pPr>
        <w:pStyle w:val="42"/>
        <w:jc w:val="left"/>
        <w:ind w:right="-60"/>
        <w:bidi w:val="0"/>
        <w:spacing w:after="60"/>
      </w:pPr>
      <w:r>
        <w:rPr>
          <w:b/>
          <w:sz w:val="14"/>
        </w:rPr>
        <w:t>WINTER CEREALS</w:t>
      </w:r>
      <w:r>
        <w:rPr>
          <w:sz w:val="14"/>
        </w:rPr>
        <w:t xml:space="preserve"> – AREA PLANTED AND SIXTH PRODUCTION FORECAST: 2009 PRODUCTION SEASON</w:t>
      </w:r>
    </w:p>
    <w:p>
      <w:pPr>
        <w:bidi w:val="0"/>
      </w:pPr>
      <w:r>
        <w:rPr>
          <w:rFonts w:ascii="Tahoma" w:hAnsi="Tahoma" w:cs="Tahoma" w:eastAsia="Tahoma"/>
          <w:b/>
          <w:sz w:val="14"/>
        </w:rPr>
        <w:t>WINTERGEWASSE</w:t>
      </w:r>
      <w:r>
        <w:rPr>
          <w:rFonts w:ascii="Tahoma" w:hAnsi="Tahoma" w:cs="Tahoma" w:eastAsia="Tahoma"/>
          <w:sz w:val="14"/>
        </w:rPr>
        <w:t xml:space="preserve"> – OPPERVLAK- EN SESDE PRODUKSIESKATTING: 2009-PRODUKSIESEISOEN</w:t>
      </w:r>
      <w:r>
        <w:rPr>
          <w:rFonts w:ascii="Tahoma" w:hAnsi="Tahoma" w:cs="Tahoma" w:eastAsia="Tahoma"/>
          <w:u w:val="single"/>
          <w:sz w:val="14"/>
        </w:rPr>
        <w:t xml:space="preserve"> </w:t>
      </w:r>
    </w:p>
    <w:p>
      <w:pPr>
        <w:bidi w:val="0"/>
      </w:pPr>
      <w:r>
        <w:rPr>
          <w:rFonts w:ascii="Tahoma" w:hAnsi="Tahoma" w:cs="Tahoma" w:eastAsia="Tahoma"/>
        </w:rPr>
        <w:t/>
      </w:r>
    </w:p>
    <w:tbl>
      <w:tblPr>
        <w:tblW w:w="8800" w:type="dxa"/>
        <w:tblLayout w:type="fixed"/>
        <w:tblCellMar>
          <w:top w:w="0" w:type="dxa"/>
          <w:left w:w="0" w:type="dxa"/>
          <w:bottom w:w="0" w:type="dxa"/>
          <w:right w:w="0" w:type="dxa"/>
        </w:tblCellMar>
        <w:tblInd w:w="-105" w:type="dxa"/>
      </w:tblPr>
      <w:tblGrid>
        <w:gridCol w:w="2115"/>
        <w:gridCol w:w="1275"/>
        <w:gridCol w:w="1140"/>
        <w:gridCol w:w="1140"/>
        <w:gridCol w:w="1140"/>
        <w:gridCol w:w="990"/>
        <w:gridCol w:w="990"/>
      </w:tblGrid>
      <w:tr>
        <w:tc>
          <w:tcPr>
            <w:tcW w:w="2120" w:type="dxa"/>
            <w:shd w:val="clear" w:color="auto" w:fill="FFFFFF"/>
          </w:tcPr>
          <w:p>
            <w:pPr>
              <w:pStyle w:val="42"/>
              <w:jc w:val="both"/>
              <w:ind w:right="-60"/>
              <w:bidi w:val="0"/>
            </w:pPr>
            <w:r>
              <w:rPr>
                <w:sz w:val="14"/>
              </w:rPr>
              <w:t>CROP/GEWAS</w:t>
            </w:r>
          </w:p>
        </w:tc>
        <w:tc>
          <w:tcPr>
            <w:tcW w:w="1280" w:type="dxa"/>
            <w:shd w:val="clear" w:color="auto" w:fill="FFFFFF"/>
          </w:tcPr>
          <w:p>
            <w:pPr>
              <w:pStyle w:val="42"/>
              <w:jc w:val="both"/>
              <w:ind w:right="-60"/>
              <w:bidi w:val="0"/>
            </w:pPr>
            <w:r>
              <w:rPr>
                <w:u w:val="none"/>
              </w:rPr>
              <w:t/>
            </w:r>
          </w:p>
          <w:p>
            <w:pPr>
              <w:pStyle w:val="42"/>
              <w:ind w:right="-60"/>
              <w:bidi w:val="0"/>
              <w:spacing w:before="60"/>
            </w:pPr>
            <w:r>
              <w:rPr>
                <w:b/>
                <w:sz w:val="14"/>
              </w:rPr>
              <w:t>Area planted/</w:t>
            </w:r>
          </w:p>
          <w:p>
            <w:pPr>
              <w:pStyle w:val="42"/>
              <w:ind w:right="-60"/>
              <w:bidi w:val="0"/>
            </w:pPr>
            <w:r>
              <w:rPr>
                <w:b/>
                <w:sz w:val="14"/>
              </w:rPr>
              <w:t>Opp beplant</w:t>
            </w:r>
          </w:p>
          <w:p>
            <w:pPr>
              <w:pStyle w:val="42"/>
              <w:ind w:right="-60"/>
              <w:bidi w:val="0"/>
            </w:pPr>
            <w:r>
              <w:rPr>
                <w:b/>
                <w:sz w:val="14"/>
              </w:rPr>
              <w:t>2009</w:t>
            </w:r>
          </w:p>
        </w:tc>
        <w:tc>
          <w:tcPr>
            <w:tcW w:w="1140" w:type="dxa"/>
            <w:shd w:val="clear" w:color="auto" w:fill="FFFFFF"/>
          </w:tcPr>
          <w:p>
            <w:pPr>
              <w:pStyle w:val="42"/>
              <w:ind w:right="-60"/>
              <w:bidi w:val="0"/>
            </w:pPr>
            <w:r>
              <w:rPr>
                <w:u w:val="none"/>
              </w:rPr>
              <w:t/>
            </w:r>
          </w:p>
          <w:p>
            <w:pPr>
              <w:pStyle w:val="42"/>
              <w:ind w:right="-60"/>
              <w:bidi w:val="0"/>
              <w:spacing w:before="60"/>
            </w:pPr>
            <w:r>
              <w:rPr>
                <w:b/>
                <w:sz w:val="14"/>
              </w:rPr>
              <w:t>6</w:t>
            </w:r>
            <w:r>
              <w:rPr>
                <w:b/>
                <w:vertAlign w:val="superscript"/>
                <w:sz w:val="14"/>
              </w:rPr>
              <w:t>th</w:t>
            </w:r>
            <w:r>
              <w:rPr>
                <w:b/>
                <w:sz w:val="14"/>
              </w:rPr>
              <w:t xml:space="preserve"> forecast/</w:t>
            </w:r>
          </w:p>
          <w:p>
            <w:pPr>
              <w:pStyle w:val="42"/>
              <w:ind w:right="-60"/>
              <w:bidi w:val="0"/>
            </w:pPr>
            <w:r>
              <w:rPr>
                <w:b/>
                <w:sz w:val="14"/>
              </w:rPr>
              <w:t>6</w:t>
            </w:r>
            <w:r>
              <w:rPr>
                <w:b/>
                <w:vertAlign w:val="superscript"/>
                <w:sz w:val="14"/>
              </w:rPr>
              <w:t>de</w:t>
            </w:r>
            <w:r>
              <w:rPr>
                <w:b/>
                <w:sz w:val="14"/>
              </w:rPr>
              <w:t xml:space="preserve"> skatting</w:t>
            </w:r>
          </w:p>
          <w:p>
            <w:pPr>
              <w:pStyle w:val="42"/>
              <w:ind w:right="-60"/>
              <w:bidi w:val="0"/>
              <w:spacing w:before="60"/>
            </w:pPr>
            <w:r>
              <w:rPr>
                <w:b/>
                <w:sz w:val="14"/>
              </w:rPr>
              <w:t>2009</w:t>
            </w:r>
          </w:p>
        </w:tc>
        <w:tc>
          <w:tcPr>
            <w:tcW w:w="1140" w:type="dxa"/>
            <w:shd w:val="clear" w:color="auto" w:fill="FFFFFF"/>
          </w:tcPr>
          <w:p>
            <w:pPr>
              <w:pStyle w:val="42"/>
              <w:ind w:right="-60"/>
              <w:bidi w:val="0"/>
              <w:spacing w:before="60"/>
            </w:pPr>
            <w:r>
              <w:rPr>
                <w:u w:val="none"/>
              </w:rPr>
              <w:t/>
            </w:r>
          </w:p>
          <w:p>
            <w:pPr>
              <w:pStyle w:val="42"/>
              <w:ind w:right="-60"/>
              <w:bidi w:val="0"/>
              <w:spacing w:before="60"/>
            </w:pPr>
            <w:r>
              <w:rPr>
                <w:sz w:val="14"/>
              </w:rPr>
              <w:t>5</w:t>
            </w:r>
            <w:r>
              <w:rPr>
                <w:vertAlign w:val="superscript"/>
                <w:sz w:val="14"/>
              </w:rPr>
              <w:t>th</w:t>
            </w:r>
            <w:r>
              <w:rPr>
                <w:sz w:val="14"/>
              </w:rPr>
              <w:t xml:space="preserve"> forecast/</w:t>
            </w:r>
          </w:p>
          <w:p>
            <w:pPr>
              <w:pStyle w:val="42"/>
              <w:ind w:right="-60"/>
              <w:bidi w:val="0"/>
            </w:pPr>
            <w:r>
              <w:rPr>
                <w:sz w:val="14"/>
              </w:rPr>
              <w:t>5</w:t>
            </w:r>
            <w:r>
              <w:rPr>
                <w:vertAlign w:val="superscript"/>
                <w:sz w:val="14"/>
              </w:rPr>
              <w:t>de</w:t>
            </w:r>
            <w:r>
              <w:rPr>
                <w:sz w:val="14"/>
              </w:rPr>
              <w:t xml:space="preserve"> skatting</w:t>
            </w:r>
          </w:p>
          <w:p>
            <w:pPr>
              <w:pStyle w:val="42"/>
              <w:ind w:right="-60"/>
              <w:bidi w:val="0"/>
              <w:spacing w:before="60"/>
            </w:pPr>
            <w:r>
              <w:rPr>
                <w:sz w:val="14"/>
              </w:rPr>
              <w:t>2009</w:t>
            </w:r>
          </w:p>
        </w:tc>
        <w:tc>
          <w:tcPr>
            <w:tcW w:w="1140" w:type="dxa"/>
            <w:shd w:val="clear" w:color="auto" w:fill="FFFFFF"/>
          </w:tcPr>
          <w:p>
            <w:pPr>
              <w:pStyle w:val="42"/>
              <w:ind w:right="-60"/>
              <w:bidi w:val="0"/>
              <w:spacing w:before="60"/>
            </w:pPr>
            <w:r>
              <w:rPr>
                <w:u w:val="none"/>
              </w:rPr>
              <w:t/>
            </w:r>
          </w:p>
          <w:p>
            <w:pPr>
              <w:pStyle w:val="42"/>
              <w:ind w:right="-60"/>
              <w:bidi w:val="0"/>
              <w:spacing w:before="60"/>
            </w:pPr>
            <w:r>
              <w:rPr>
                <w:sz w:val="14"/>
              </w:rPr>
              <w:t>Area planted/</w:t>
            </w:r>
          </w:p>
          <w:p>
            <w:pPr>
              <w:pStyle w:val="42"/>
              <w:ind w:right="-60"/>
              <w:bidi w:val="0"/>
            </w:pPr>
            <w:r>
              <w:rPr>
                <w:sz w:val="14"/>
              </w:rPr>
              <w:t>Opp beplant</w:t>
            </w:r>
          </w:p>
          <w:p>
            <w:pPr>
              <w:pStyle w:val="42"/>
              <w:ind w:right="-60"/>
              <w:bidi w:val="0"/>
            </w:pPr>
            <w:r>
              <w:rPr>
                <w:sz w:val="14"/>
              </w:rPr>
              <w:t>2008</w:t>
            </w:r>
          </w:p>
        </w:tc>
        <w:tc>
          <w:tcPr>
            <w:tcW w:w="990" w:type="dxa"/>
            <w:shd w:val="clear" w:color="auto" w:fill="FFFFFF"/>
          </w:tcPr>
          <w:p>
            <w:pPr>
              <w:pStyle w:val="42"/>
              <w:ind w:right="-60"/>
              <w:bidi w:val="0"/>
            </w:pPr>
            <w:r>
              <w:rPr>
                <w:u w:val="none"/>
              </w:rPr>
              <w:t/>
            </w:r>
          </w:p>
          <w:p>
            <w:pPr>
              <w:pStyle w:val="42"/>
              <w:ind w:right="-60"/>
              <w:bidi w:val="0"/>
              <w:spacing w:before="60"/>
            </w:pPr>
            <w:r>
              <w:rPr>
                <w:sz w:val="14"/>
              </w:rPr>
              <w:t>Final crop/</w:t>
            </w:r>
          </w:p>
          <w:p>
            <w:pPr>
              <w:pStyle w:val="42"/>
              <w:ind w:right="-60"/>
              <w:bidi w:val="0"/>
            </w:pPr>
            <w:r>
              <w:rPr>
                <w:sz w:val="14"/>
              </w:rPr>
              <w:t>Finale oes</w:t>
            </w:r>
          </w:p>
          <w:p>
            <w:pPr>
              <w:pStyle w:val="42"/>
              <w:ind w:right="-60"/>
              <w:bidi w:val="0"/>
            </w:pPr>
            <w:r>
              <w:rPr>
                <w:sz w:val="14"/>
              </w:rPr>
              <w:t>2008</w:t>
            </w:r>
          </w:p>
        </w:tc>
        <w:tc>
          <w:tcPr>
            <w:tcW w:w="990" w:type="dxa"/>
            <w:shd w:val="clear" w:color="auto" w:fill="FFFFFF"/>
          </w:tcPr>
          <w:p>
            <w:pPr>
              <w:pStyle w:val="42"/>
              <w:ind w:right="-60"/>
              <w:bidi w:val="0"/>
            </w:pPr>
            <w:r>
              <w:rPr>
                <w:u w:val="none"/>
              </w:rPr>
              <w:t/>
            </w:r>
          </w:p>
          <w:p>
            <w:pPr>
              <w:pStyle w:val="42"/>
              <w:ind w:right="-105"/>
              <w:bidi w:val="0"/>
            </w:pPr>
            <w:r>
              <w:rPr>
                <w:sz w:val="14"/>
              </w:rPr>
              <w:t>Change/</w:t>
            </w:r>
          </w:p>
          <w:p>
            <w:pPr>
              <w:pStyle w:val="42"/>
              <w:ind w:right="-105"/>
              <w:bidi w:val="0"/>
            </w:pPr>
            <w:r>
              <w:rPr>
                <w:sz w:val="14"/>
              </w:rPr>
              <w:t>Verandering</w:t>
            </w:r>
          </w:p>
        </w:tc>
      </w:tr>
      <w:tr>
        <w:tc>
          <w:tcPr>
            <w:tcW w:w="2120" w:type="dxa"/>
            <w:shd w:val="clear" w:color="auto" w:fill="FFFFFF"/>
          </w:tcPr>
          <w:p>
            <w:pPr>
              <w:pStyle w:val="42"/>
              <w:ind w:right="-105"/>
              <w:bidi w:val="0"/>
            </w:pPr>
            <w:r>
              <w:rPr>
                <w:u w:val="none"/>
              </w:rPr>
              <w:t/>
            </w:r>
          </w:p>
          <w:p>
            <w:pPr>
              <w:pStyle w:val="42"/>
              <w:jc w:val="both"/>
              <w:ind w:right="-60"/>
              <w:bidi w:val="0"/>
            </w:pPr>
            <w:r>
              <w:rPr>
                <w:u w:val="none"/>
              </w:rPr>
              <w:t/>
            </w:r>
          </w:p>
        </w:tc>
        <w:tc>
          <w:tcPr>
            <w:tcW w:w="1280" w:type="dxa"/>
            <w:shd w:val="clear" w:color="auto" w:fill="FFFFFF"/>
          </w:tcPr>
          <w:p>
            <w:pPr>
              <w:pStyle w:val="42"/>
              <w:ind w:right="-60"/>
              <w:bidi w:val="0"/>
              <w:spacing w:before="15" w:after="15"/>
            </w:pPr>
            <w:r>
              <w:rPr>
                <w:b/>
                <w:sz w:val="14"/>
              </w:rPr>
              <w:t>Ha</w:t>
            </w:r>
          </w:p>
        </w:tc>
        <w:tc>
          <w:tcPr>
            <w:tcW w:w="1140" w:type="dxa"/>
            <w:shd w:val="clear" w:color="auto" w:fill="FFFFFF"/>
          </w:tcPr>
          <w:p>
            <w:pPr>
              <w:pStyle w:val="42"/>
              <w:ind w:right="-60"/>
              <w:bidi w:val="0"/>
              <w:spacing w:before="15" w:after="15"/>
            </w:pPr>
            <w:r>
              <w:rPr>
                <w:u w:val="none"/>
              </w:rPr>
              <w:t/>
            </w:r>
          </w:p>
          <w:p>
            <w:pPr>
              <w:pStyle w:val="42"/>
              <w:ind w:right="-60"/>
              <w:bidi w:val="0"/>
              <w:spacing w:before="15" w:after="15"/>
            </w:pPr>
            <w:r>
              <w:rPr>
                <w:b/>
                <w:sz w:val="14"/>
              </w:rPr>
              <w:t>Tons</w:t>
            </w:r>
          </w:p>
        </w:tc>
        <w:tc>
          <w:tcPr>
            <w:tcW w:w="114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140" w:type="dxa"/>
            <w:shd w:val="clear" w:color="auto" w:fill="FFFFFF"/>
          </w:tcPr>
          <w:p>
            <w:pPr>
              <w:pStyle w:val="42"/>
              <w:ind w:right="-60"/>
              <w:bidi w:val="0"/>
              <w:spacing w:before="15" w:after="15"/>
            </w:pPr>
            <w:r>
              <w:rPr>
                <w:u w:val="none"/>
              </w:rPr>
              <w:t/>
            </w:r>
          </w:p>
          <w:p>
            <w:pPr>
              <w:pStyle w:val="42"/>
              <w:ind w:right="-60"/>
              <w:bidi w:val="0"/>
              <w:spacing w:before="15" w:after="15"/>
            </w:pPr>
            <w:r>
              <w:rPr>
                <w:sz w:val="14"/>
              </w:rPr>
              <w:t>Ha</w:t>
            </w:r>
          </w:p>
        </w:tc>
        <w:tc>
          <w:tcPr>
            <w:tcW w:w="9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990" w:type="dxa"/>
            <w:shd w:val="clear" w:color="auto" w:fill="FFFFFF"/>
          </w:tcPr>
          <w:p>
            <w:pPr>
              <w:pStyle w:val="42"/>
              <w:ind w:right="-60"/>
              <w:bidi w:val="0"/>
              <w:spacing w:before="15" w:after="15"/>
            </w:pPr>
            <w:r>
              <w:rPr>
                <w:u w:val="none"/>
              </w:rPr>
              <w:t/>
            </w:r>
          </w:p>
          <w:p>
            <w:pPr>
              <w:pStyle w:val="42"/>
              <w:ind w:right="-60"/>
              <w:bidi w:val="0"/>
            </w:pPr>
            <w:r>
              <w:rPr>
                <w:sz w:val="14"/>
              </w:rPr>
              <w:t>%</w:t>
            </w:r>
          </w:p>
        </w:tc>
      </w:tr>
      <w:tr>
        <w:tc>
          <w:tcPr>
            <w:tcW w:w="2120" w:type="dxa"/>
            <w:shd w:val="clear" w:color="auto" w:fill="FFFFFF"/>
          </w:tcPr>
          <w:p>
            <w:pPr>
              <w:pStyle w:val="42"/>
              <w:ind w:right="-60"/>
              <w:bidi w:val="0"/>
            </w:pPr>
            <w:r>
              <w:rPr>
                <w:u w:val="none"/>
              </w:rPr>
              <w:t/>
            </w:r>
          </w:p>
          <w:p>
            <w:pPr>
              <w:pStyle w:val="42"/>
              <w:jc w:val="both"/>
              <w:ind w:right="-60"/>
              <w:bidi w:val="0"/>
            </w:pPr>
            <w:r>
              <w:rPr>
                <w:u w:val="none"/>
              </w:rPr>
              <w:t/>
            </w:r>
          </w:p>
        </w:tc>
        <w:tc>
          <w:tcPr>
            <w:tcW w:w="1280" w:type="dxa"/>
            <w:shd w:val="clear" w:color="auto" w:fill="FFFFFF"/>
          </w:tcPr>
          <w:p>
            <w:pPr>
              <w:pStyle w:val="42"/>
              <w:ind w:right="-60"/>
              <w:bidi w:val="0"/>
              <w:spacing w:before="45" w:after="45"/>
            </w:pPr>
            <w:r>
              <w:rPr>
                <w:b/>
                <w:sz w:val="14"/>
              </w:rPr>
              <w:t>(A)</w:t>
            </w:r>
          </w:p>
        </w:tc>
        <w:tc>
          <w:tcPr>
            <w:tcW w:w="1140" w:type="dxa"/>
            <w:shd w:val="clear" w:color="auto" w:fill="FFFFFF"/>
          </w:tcPr>
          <w:p>
            <w:pPr>
              <w:pStyle w:val="42"/>
              <w:ind w:right="-60"/>
              <w:bidi w:val="0"/>
              <w:spacing w:before="45" w:after="45"/>
            </w:pPr>
            <w:r>
              <w:rPr>
                <w:u w:val="none"/>
              </w:rPr>
              <w:t/>
            </w:r>
          </w:p>
          <w:p>
            <w:pPr>
              <w:pStyle w:val="42"/>
              <w:ind w:right="-60"/>
              <w:bidi w:val="0"/>
              <w:spacing w:before="15" w:after="15"/>
            </w:pPr>
            <w:r>
              <w:rPr>
                <w:b/>
                <w:sz w:val="14"/>
              </w:rPr>
              <w:t>(B)</w:t>
            </w:r>
          </w:p>
        </w:tc>
        <w:tc>
          <w:tcPr>
            <w:tcW w:w="1140" w:type="dxa"/>
            <w:shd w:val="clear" w:color="auto" w:fill="FFFFFF"/>
          </w:tcPr>
          <w:p>
            <w:pPr>
              <w:pStyle w:val="42"/>
              <w:ind w:right="-60"/>
              <w:bidi w:val="0"/>
              <w:spacing w:before="15" w:after="15"/>
            </w:pPr>
            <w:r>
              <w:rPr>
                <w:u w:val="none"/>
              </w:rPr>
              <w:t/>
            </w:r>
          </w:p>
          <w:p>
            <w:pPr>
              <w:pStyle w:val="42"/>
              <w:ind w:right="-60"/>
              <w:bidi w:val="0"/>
              <w:spacing w:before="15" w:after="15"/>
            </w:pPr>
            <w:r>
              <w:rPr>
                <w:sz w:val="14"/>
              </w:rPr>
              <w:t>(C)</w:t>
            </w:r>
          </w:p>
        </w:tc>
        <w:tc>
          <w:tcPr>
            <w:tcW w:w="1140" w:type="dxa"/>
            <w:shd w:val="clear" w:color="auto" w:fill="FFFFFF"/>
          </w:tcPr>
          <w:p>
            <w:pPr>
              <w:pStyle w:val="42"/>
              <w:ind w:right="-60"/>
              <w:bidi w:val="0"/>
              <w:spacing w:before="15" w:after="15"/>
            </w:pPr>
            <w:r>
              <w:rPr>
                <w:u w:val="none"/>
              </w:rPr>
              <w:t/>
            </w:r>
          </w:p>
          <w:p>
            <w:pPr>
              <w:pStyle w:val="42"/>
              <w:ind w:right="-60"/>
              <w:bidi w:val="0"/>
              <w:spacing w:before="45" w:after="45"/>
            </w:pPr>
            <w:r>
              <w:rPr>
                <w:sz w:val="14"/>
              </w:rPr>
              <w:t>(D)</w:t>
            </w:r>
          </w:p>
        </w:tc>
        <w:tc>
          <w:tcPr>
            <w:tcW w:w="990" w:type="dxa"/>
            <w:shd w:val="clear" w:color="auto" w:fill="FFFFFF"/>
          </w:tcPr>
          <w:p>
            <w:pPr>
              <w:pStyle w:val="42"/>
              <w:ind w:right="-60"/>
              <w:bidi w:val="0"/>
              <w:spacing w:before="45" w:after="45"/>
            </w:pPr>
            <w:r>
              <w:rPr>
                <w:u w:val="none"/>
              </w:rPr>
              <w:t/>
            </w:r>
          </w:p>
          <w:p>
            <w:pPr>
              <w:pStyle w:val="42"/>
              <w:ind w:right="-60"/>
              <w:bidi w:val="0"/>
              <w:spacing w:before="45" w:after="45"/>
            </w:pPr>
            <w:r>
              <w:rPr>
                <w:sz w:val="14"/>
              </w:rPr>
              <w:t>(E)</w:t>
            </w:r>
          </w:p>
        </w:tc>
        <w:tc>
          <w:tcPr>
            <w:tcW w:w="990" w:type="dxa"/>
            <w:shd w:val="clear" w:color="auto" w:fill="FFFFFF"/>
          </w:tcPr>
          <w:p>
            <w:pPr>
              <w:pStyle w:val="42"/>
              <w:ind w:right="-60"/>
              <w:bidi w:val="0"/>
              <w:spacing w:before="45" w:after="45"/>
            </w:pPr>
            <w:r>
              <w:rPr>
                <w:u w:val="none"/>
              </w:rPr>
              <w:t/>
            </w:r>
          </w:p>
          <w:p>
            <w:pPr>
              <w:pStyle w:val="42"/>
              <w:ind w:right="-60"/>
              <w:bidi w:val="0"/>
              <w:spacing w:before="45" w:after="45"/>
            </w:pPr>
            <w:r>
              <w:rPr>
                <w:sz w:val="14"/>
              </w:rPr>
              <w:t>(B) ÷ (C)</w:t>
            </w:r>
          </w:p>
        </w:tc>
      </w:tr>
      <w:tr>
        <w:tc>
          <w:tcPr>
            <w:tcW w:w="8800" w:type="dxa"/>
            <w:gridSpan w:val="7"/>
            <w:shd w:val="clear" w:color="auto" w:fill="FFFFFF"/>
          </w:tcPr>
          <w:p>
            <w:pPr>
              <w:pStyle w:val="42"/>
              <w:ind w:right="-60"/>
              <w:bidi w:val="0"/>
              <w:spacing w:before="45" w:after="45"/>
            </w:pPr>
            <w:r>
              <w:rPr>
                <w:u w:val="none"/>
              </w:rPr>
              <w:t/>
            </w:r>
          </w:p>
          <w:p>
            <w:pPr>
              <w:ind w:right="105"/>
              <w:bidi w:val="0"/>
              <w:spacing w:before="45" w:after="45"/>
            </w:pPr>
            <w:r>
              <w:rPr>
                <w:rFonts w:ascii="Tahoma" w:hAnsi="Tahoma" w:cs="Tahoma" w:eastAsia="Tahoma"/>
                <w:sz w:val="14"/>
              </w:rPr>
              <w:t>Commercial/Kommersieel:</w:t>
            </w:r>
          </w:p>
        </w:tc>
      </w:tr>
      <w:tr>
        <w:tc>
          <w:tcPr>
            <w:tcW w:w="2120" w:type="dxa"/>
            <w:shd w:val="clear" w:color="auto" w:fill="FFFFFF"/>
          </w:tcPr>
          <w:p>
            <w:pPr>
              <w:ind w:right="105"/>
              <w:bidi w:val="0"/>
              <w:spacing w:before="45" w:after="45"/>
            </w:pPr>
            <w:r>
              <w:rPr>
                <w:rFonts w:ascii="Tahoma" w:hAnsi="Tahoma" w:cs="Tahoma" w:eastAsia="Tahoma"/>
              </w:rPr>
              <w:t/>
            </w:r>
          </w:p>
          <w:p>
            <w:pPr>
              <w:pStyle w:val="42"/>
              <w:jc w:val="left"/>
              <w:ind w:right="75"/>
              <w:bidi w:val="0"/>
              <w:spacing w:before="45" w:after="45"/>
            </w:pPr>
            <w:r>
              <w:rPr>
                <w:sz w:val="14"/>
              </w:rPr>
              <w:t>Wheat/Koring</w:t>
            </w:r>
          </w:p>
        </w:tc>
        <w:tc>
          <w:tcPr>
            <w:tcW w:w="1280" w:type="dxa"/>
            <w:shd w:val="clear" w:color="auto" w:fill="FFFFFF"/>
          </w:tcPr>
          <w:p>
            <w:pPr>
              <w:pStyle w:val="42"/>
              <w:jc w:val="left"/>
              <w:ind w:right="75"/>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647 500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1 946 300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1 979 250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748 000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2 130 000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-1,66</w:t>
            </w:r>
          </w:p>
        </w:tc>
      </w:tr>
      <w:tr>
        <w:tc>
          <w:tcPr>
            <w:tcW w:w="212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spacing w:before="45" w:after="45"/>
            </w:pPr>
            <w:r>
              <w:rPr>
                <w:sz w:val="14"/>
              </w:rPr>
              <w:t>Malting barley/Moutgars</w:t>
            </w:r>
          </w:p>
        </w:tc>
        <w:tc>
          <w:tcPr>
            <w:tcW w:w="1280" w:type="dxa"/>
            <w:shd w:val="clear" w:color="auto" w:fill="FFFFFF"/>
          </w:tcPr>
          <w:p>
            <w:pPr>
              <w:pStyle w:val="42"/>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74 760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223 622</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223 870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68 245</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192 000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-0,11</w:t>
            </w:r>
          </w:p>
        </w:tc>
      </w:tr>
      <w:tr>
        <w:tc>
          <w:tcPr>
            <w:tcW w:w="212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spacing w:before="45" w:after="45"/>
            </w:pPr>
            <w:r>
              <w:rPr>
                <w:sz w:val="14"/>
              </w:rPr>
              <w:t>Canola/Kanola</w:t>
            </w:r>
          </w:p>
        </w:tc>
        <w:tc>
          <w:tcPr>
            <w:tcW w:w="1280" w:type="dxa"/>
            <w:shd w:val="clear" w:color="auto" w:fill="FFFFFF"/>
          </w:tcPr>
          <w:p>
            <w:pPr>
              <w:pStyle w:val="42"/>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38 060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45 660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45 660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34 000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30 800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r>
      <w:tr>
        <w:tc>
          <w:tcPr>
            <w:tcW w:w="212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spacing w:before="45" w:after="45"/>
            </w:pPr>
            <w:r>
              <w:rPr>
                <w:sz w:val="14"/>
              </w:rPr>
              <w:t>Total/Totaal</w:t>
            </w:r>
          </w:p>
        </w:tc>
        <w:tc>
          <w:tcPr>
            <w:tcW w:w="1280" w:type="dxa"/>
            <w:shd w:val="clear" w:color="auto" w:fill="FFFFFF"/>
          </w:tcPr>
          <w:p>
            <w:pPr>
              <w:pStyle w:val="42"/>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760 320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2 215 582</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2 248 780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850  245</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2 352 800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-1,48</w:t>
            </w:r>
          </w:p>
        </w:tc>
      </w:tr>
    </w:tbl>
    <w:p>
      <w:pPr>
        <w:bidi w:val="0"/>
      </w:pPr>
      <w:r>
        <w:rPr>
          <w:rFonts w:ascii="Tahoma" w:hAnsi="Tahoma" w:cs="Tahoma" w:eastAsia="Tahoma"/>
        </w:rPr>
        <w:t/>
      </w:r>
    </w:p>
    <w:p>
      <w:pPr>
        <w:pStyle w:val="42"/>
        <w:ind w:right="-60"/>
        <w:bidi w:val="0"/>
      </w:pPr>
      <w:r>
        <w:t/>
      </w:r>
    </w:p>
    <w:p>
      <w:pPr>
        <w:pStyle w:val="42"/>
        <w:jc w:val="left"/>
        <w:ind w:right="-60"/>
        <w:bidi w:val="0"/>
      </w:pPr>
      <w:r>
        <w:rPr>
          <w:b/>
          <w:sz w:val="14"/>
        </w:rPr>
        <w:t>WHEAT</w:t>
      </w:r>
      <w:r>
        <w:rPr>
          <w:sz w:val="14"/>
        </w:rPr>
        <w:t xml:space="preserve"> – AREA PLANTED AND SIXTH PRODUCTION FORECAST: 2009 PRODUCTION SEASON </w:t>
      </w:r>
    </w:p>
    <w:p>
      <w:pPr>
        <w:pStyle w:val="42"/>
        <w:jc w:val="left"/>
        <w:ind w:right="-60"/>
        <w:bidi w:val="0"/>
      </w:pPr>
      <w:r>
        <w:rPr>
          <w:b/>
          <w:sz w:val="14"/>
        </w:rPr>
        <w:t>KORING</w:t>
      </w:r>
      <w:r>
        <w:rPr>
          <w:sz w:val="14"/>
        </w:rPr>
        <w:t xml:space="preserve"> – OPPERVLAK- EN SESDE PRODUKSIESKATTING: 2009-PRODUKSIESEISOEN </w:t>
      </w:r>
    </w:p>
    <w:p>
      <w:pPr>
        <w:pStyle w:val="42"/>
        <w:jc w:val="left"/>
        <w:ind w:right="-60"/>
        <w:bidi w:val="0"/>
      </w:pPr>
      <w:r>
        <w:t/>
      </w:r>
    </w:p>
    <w:p>
      <w:pPr>
        <w:bidi w:val="0"/>
      </w:pPr>
      <w:r>
        <w:rPr>
          <w:rFonts w:ascii="Tahoma" w:hAnsi="Tahoma" w:cs="Tahoma" w:eastAsia="Tahoma"/>
        </w:rPr>
        <w:t/>
      </w:r>
    </w:p>
    <w:tbl>
      <w:tblPr>
        <w:tblW w:w="8800" w:type="dxa"/>
        <w:tblLayout w:type="fixed"/>
        <w:tblCellMar>
          <w:top w:w="0" w:type="dxa"/>
          <w:left w:w="0" w:type="dxa"/>
          <w:bottom w:w="0" w:type="dxa"/>
          <w:right w:w="0" w:type="dxa"/>
        </w:tblCellMar>
      </w:tblPr>
      <w:tblGrid>
        <w:gridCol w:w="2355"/>
        <w:gridCol w:w="1290"/>
        <w:gridCol w:w="1290"/>
        <w:gridCol w:w="1200"/>
        <w:gridCol w:w="1365"/>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ind w:right="-60"/>
              <w:bidi w:val="0"/>
              <w:spacing w:before="60"/>
            </w:pPr>
            <w:r>
              <w:rPr>
                <w:b/>
                <w:sz w:val="14"/>
              </w:rPr>
              <w:t>Area planted/</w:t>
            </w:r>
          </w:p>
          <w:p>
            <w:pPr>
              <w:pStyle w:val="42"/>
              <w:ind w:right="-60"/>
              <w:bidi w:val="0"/>
              <w:spacing w:after="60"/>
            </w:pPr>
            <w:r>
              <w:rPr>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ind w:right="-60"/>
              <w:bidi w:val="0"/>
              <w:spacing w:before="60"/>
            </w:pPr>
            <w:r>
              <w:rPr>
                <w:b/>
                <w:sz w:val="14"/>
              </w:rPr>
              <w:t>6</w:t>
            </w:r>
            <w:r>
              <w:rPr>
                <w:b/>
                <w:vertAlign w:val="superscript"/>
                <w:sz w:val="14"/>
              </w:rPr>
              <w:t>th</w:t>
            </w:r>
            <w:r>
              <w:rPr>
                <w:b/>
                <w:sz w:val="14"/>
              </w:rPr>
              <w:t xml:space="preserve"> forecast/</w:t>
            </w:r>
          </w:p>
          <w:p>
            <w:pPr>
              <w:pStyle w:val="42"/>
              <w:ind w:right="-60"/>
              <w:bidi w:val="0"/>
            </w:pPr>
            <w:r>
              <w:rPr>
                <w:b/>
                <w:sz w:val="14"/>
              </w:rPr>
              <w:t>6</w:t>
            </w:r>
            <w:r>
              <w:rPr>
                <w:b/>
                <w:vertAlign w:val="superscript"/>
                <w:sz w:val="14"/>
              </w:rPr>
              <w:t>de</w:t>
            </w:r>
            <w:r>
              <w:rPr>
                <w:b/>
                <w:sz w:val="14"/>
              </w:rPr>
              <w:t xml:space="preserve"> skatting</w:t>
            </w:r>
          </w:p>
          <w:p>
            <w:pPr>
              <w:pStyle w:val="42"/>
              <w:ind w:right="-60"/>
              <w:bidi w:val="0"/>
              <w:spacing w:before="60"/>
            </w:pPr>
            <w:r>
              <w:rPr>
                <w:b/>
                <w:sz w:val="14"/>
              </w:rPr>
              <w:t>Tons</w:t>
            </w:r>
          </w:p>
        </w:tc>
        <w:tc>
          <w:tcPr>
            <w:tcW w:w="1200" w:type="dxa"/>
            <w:shd w:val="clear" w:color="auto" w:fill="FFFFFF"/>
          </w:tcPr>
          <w:p>
            <w:pPr>
              <w:pStyle w:val="42"/>
              <w:ind w:right="-60"/>
              <w:bidi w:val="0"/>
              <w:spacing w:before="60"/>
            </w:pPr>
            <w:r>
              <w:rPr>
                <w:u w:val="none"/>
              </w:rPr>
              <w:t/>
            </w:r>
          </w:p>
          <w:p>
            <w:pPr>
              <w:pStyle w:val="42"/>
              <w:ind w:right="-60"/>
              <w:bidi w:val="0"/>
              <w:spacing w:before="60"/>
            </w:pPr>
            <w:r>
              <w:rPr>
                <w:sz w:val="14"/>
              </w:rPr>
              <w:t>5</w:t>
            </w:r>
            <w:r>
              <w:rPr>
                <w:vertAlign w:val="superscript"/>
                <w:sz w:val="14"/>
              </w:rPr>
              <w:t>th</w:t>
            </w:r>
            <w:r>
              <w:rPr>
                <w:sz w:val="14"/>
              </w:rPr>
              <w:t xml:space="preserve"> forecast/</w:t>
            </w:r>
          </w:p>
          <w:p>
            <w:pPr>
              <w:pStyle w:val="42"/>
              <w:ind w:right="-60"/>
              <w:bidi w:val="0"/>
            </w:pPr>
            <w:r>
              <w:rPr>
                <w:sz w:val="14"/>
              </w:rPr>
              <w:t>5</w:t>
            </w:r>
            <w:r>
              <w:rPr>
                <w:vertAlign w:val="superscript"/>
                <w:sz w:val="14"/>
              </w:rPr>
              <w:t>de</w:t>
            </w:r>
            <w:r>
              <w:rPr>
                <w:sz w:val="14"/>
              </w:rPr>
              <w:t xml:space="preserve"> skatting</w:t>
            </w:r>
          </w:p>
          <w:p>
            <w:pPr>
              <w:pStyle w:val="42"/>
              <w:ind w:right="-60"/>
              <w:bidi w:val="0"/>
              <w:spacing w:before="60"/>
            </w:pPr>
            <w:r>
              <w:rPr>
                <w:sz w:val="14"/>
              </w:rPr>
              <w:t>Tons</w:t>
            </w:r>
          </w:p>
        </w:tc>
        <w:tc>
          <w:tcPr>
            <w:tcW w:w="1370" w:type="dxa"/>
            <w:shd w:val="clear" w:color="auto" w:fill="FFFFFF"/>
          </w:tcPr>
          <w:p>
            <w:pPr>
              <w:pStyle w:val="42"/>
              <w:ind w:right="-60"/>
              <w:bidi w:val="0"/>
              <w:spacing w:before="60"/>
            </w:pPr>
            <w:r>
              <w:rPr>
                <w:u w:val="none"/>
              </w:rPr>
              <w:t/>
            </w:r>
          </w:p>
          <w:p>
            <w:pPr>
              <w:pStyle w:val="42"/>
              <w:ind w:right="-60"/>
              <w:bidi w:val="0"/>
              <w:spacing w:before="60"/>
            </w:pPr>
            <w:r>
              <w:rPr>
                <w:sz w:val="14"/>
              </w:rPr>
              <w:t>Area planted/</w:t>
            </w:r>
          </w:p>
          <w:p>
            <w:pPr>
              <w:pStyle w:val="42"/>
              <w:ind w:right="-60"/>
              <w:bidi w:val="0"/>
              <w:spacing w:after="60"/>
            </w:pPr>
            <w:r>
              <w:rPr>
                <w:sz w:val="14"/>
              </w:rPr>
              <w:t>Opp beplant</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ind w:right="-60"/>
              <w:bidi w:val="0"/>
              <w:spacing w:before="60"/>
            </w:pPr>
            <w:r>
              <w:rPr>
                <w:sz w:val="14"/>
              </w:rPr>
              <w:t>Final crop/</w:t>
            </w:r>
          </w:p>
          <w:p>
            <w:pPr>
              <w:pStyle w:val="42"/>
              <w:ind w:right="-60"/>
              <w:bidi w:val="0"/>
              <w:spacing w:after="60"/>
            </w:pPr>
            <w:r>
              <w:rPr>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2009</w:t>
            </w:r>
          </w:p>
        </w:tc>
        <w:tc>
          <w:tcPr>
            <w:tcW w:w="1290" w:type="dxa"/>
            <w:shd w:val="clear" w:color="auto" w:fill="FFFFFF"/>
          </w:tcPr>
          <w:p>
            <w:pPr>
              <w:pStyle w:val="42"/>
              <w:ind w:right="-60"/>
              <w:bidi w:val="0"/>
              <w:spacing w:before="15"/>
            </w:pPr>
            <w:r>
              <w:rPr>
                <w:u w:val="none"/>
              </w:rPr>
              <w:t/>
            </w:r>
          </w:p>
          <w:p>
            <w:pPr>
              <w:pStyle w:val="42"/>
              <w:ind w:right="-60"/>
              <w:bidi w:val="0"/>
              <w:spacing w:before="15" w:after="15"/>
            </w:pPr>
            <w:r>
              <w:rPr>
                <w:b/>
                <w:sz w:val="14"/>
              </w:rPr>
              <w:t>2009</w:t>
            </w:r>
          </w:p>
        </w:tc>
        <w:tc>
          <w:tcPr>
            <w:tcW w:w="1200" w:type="dxa"/>
            <w:shd w:val="clear" w:color="auto" w:fill="FFFFFF"/>
          </w:tcPr>
          <w:p>
            <w:pPr>
              <w:pStyle w:val="42"/>
              <w:ind w:right="-60"/>
              <w:bidi w:val="0"/>
              <w:spacing w:before="15" w:after="15"/>
            </w:pPr>
            <w:r>
              <w:rPr>
                <w:u w:val="none"/>
              </w:rPr>
              <w:t/>
            </w:r>
          </w:p>
          <w:p>
            <w:pPr>
              <w:pStyle w:val="42"/>
              <w:ind w:right="-60"/>
              <w:bidi w:val="0"/>
              <w:spacing w:before="15" w:after="15"/>
            </w:pPr>
            <w:r>
              <w:rPr>
                <w:sz w:val="14"/>
              </w:rPr>
              <w:t>2009</w:t>
            </w:r>
          </w:p>
        </w:tc>
        <w:tc>
          <w:tcPr>
            <w:tcW w:w="1370" w:type="dxa"/>
            <w:shd w:val="clear" w:color="auto" w:fill="FFFFFF"/>
          </w:tcPr>
          <w:p>
            <w:pPr>
              <w:pStyle w:val="42"/>
              <w:ind w:right="-60"/>
              <w:bidi w:val="0"/>
              <w:spacing w:before="15" w:after="15"/>
            </w:pPr>
            <w:r>
              <w:rPr>
                <w:u w:val="none"/>
              </w:rPr>
              <w:t/>
            </w:r>
          </w:p>
          <w:p>
            <w:pPr>
              <w:pStyle w:val="42"/>
              <w:ind w:right="-60"/>
              <w:bidi w:val="0"/>
              <w:spacing w:before="15"/>
            </w:pPr>
            <w:r>
              <w:rPr>
                <w:sz w:val="14"/>
              </w:rPr>
              <w:t>2008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w:t>
            </w:r>
          </w:p>
        </w:tc>
      </w:tr>
      <w:tr>
        <w:tc>
          <w:tcPr>
            <w:tcW w:w="2360" w:type="dxa"/>
            <w:shd w:val="clear" w:color="auto" w:fill="FFFFFF"/>
          </w:tcPr>
          <w:p>
            <w:pPr>
              <w:pStyle w:val="42"/>
              <w:ind w:right="-60"/>
              <w:bidi w:val="0"/>
              <w:spacing w:before="15"/>
            </w:pPr>
            <w:r>
              <w:rPr>
                <w:u w:val="none"/>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305 000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701 500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724 500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860 000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44 000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277 200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281 600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332 000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235 000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622 750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622 750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280 000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560 000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20 000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20 000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22 000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7 000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35 000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35 000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38 200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7 500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41 250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42 000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45 000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18 000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99 000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99 000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110 000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12 800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12 800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12 800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24 000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136 800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141 600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150 000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647 500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1 946 300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1 979 250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748 000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2 130 000</w:t>
            </w:r>
          </w:p>
        </w:tc>
      </w:tr>
    </w:tbl>
    <w:p>
      <w:pPr>
        <w:bidi w:val="0"/>
      </w:pPr>
      <w:r>
        <w:rPr>
          <w:rFonts w:ascii="Tahoma" w:hAnsi="Tahoma" w:cs="Tahoma" w:eastAsia="Tahoma"/>
        </w:rPr>
        <w:t/>
      </w:r>
    </w:p>
    <w:p>
      <w:pPr>
        <w:jc w:val="both"/>
        <w:ind w:right="615"/>
        <w:bidi w:val="0"/>
        <w:spacing w:before="75"/>
      </w:pPr>
      <w:r>
        <w:t/>
      </w:r>
    </w:p>
    <w:p>
      <w:pPr>
        <w:bidi w:val="0"/>
      </w:pPr>
      <w:r>
        <w:rPr>
          <w:rFonts w:ascii="Tahoma" w:hAnsi="Tahoma" w:cs="Tahoma" w:eastAsia="Tahoma"/>
        </w:rPr>
        <w:t/>
      </w:r>
    </w:p>
    <w:p>
      <w:r>
        <w:br w:type="page"/>
      </w:r>
    </w:p>
    <w:p>
      <w:pPr>
        <w:bidi w:val="0"/>
      </w:pPr>
      <w:r>
        <w:rPr>
          <w:rFonts w:ascii="Tahoma" w:hAnsi="Tahoma" w:cs="Tahoma" w:eastAsia="Tahoma"/>
          <w:sz w:val="20"/>
        </w:rPr>
        <w:t/>
      </w:r>
    </w:p>
    <w:p>
      <w:pPr>
        <w:pStyle w:val="42"/>
        <w:bidi w:val="0"/>
      </w:pPr>
      <w:r>
        <w:t/>
      </w:r>
    </w:p>
    <w:p>
      <w:pPr>
        <w:pStyle w:val="42"/>
        <w:bidi w:val="0"/>
      </w:pPr>
      <w:r>
        <w:t/>
      </w:r>
    </w:p>
    <w:p>
      <w:pPr>
        <w:pStyle w:val="42"/>
        <w:bidi w:val="0"/>
      </w:pPr>
      <w:r>
        <w:rPr>
          <w:b/>
          <w:sz w:val="20"/>
        </w:rPr>
        <w:t>AREA PLANTED AND SIXTH PRODUCTION FORECAST OF WINTER CEREALS (2009 PRODUCTION SEASON) /</w:t>
      </w:r>
      <w:r>
        <w:br/>
      </w:r>
      <w:r>
        <w:rPr>
          <w:b/>
          <w:sz w:val="20"/>
        </w:rPr>
        <w:t>OPPERVLAK - EN SESDE PRODUKSIESKATTING VIR WINTERGEWASSE (2009 PRODUKSIE-SEISOEN)</w:t>
      </w:r>
    </w:p>
    <w:p>
      <w:pPr>
        <w:pStyle w:val="42"/>
        <w:bidi w:val="0"/>
      </w:pPr>
      <w:r>
        <w:rPr>
          <w:b/>
          <w:sz w:val="20"/>
        </w:rPr>
        <w:t>21 JANUARY/ JANUARIE 2010</w:t>
      </w:r>
    </w:p>
    <w:p>
      <w:pPr>
        <w:bidi w:val="0"/>
      </w:pPr>
      <w:r>
        <w:t/>
      </w:r>
    </w:p>
    <w:p>
      <w:pPr>
        <w:bidi w:val="0"/>
      </w:pPr>
      <w:r>
        <w:rPr>
          <w:rFonts w:ascii="Tahoma" w:hAnsi="Tahoma" w:cs="Tahoma" w:eastAsia="Tahoma"/>
        </w:rPr>
        <w:t/>
      </w:r>
    </w:p>
    <w:tbl>
      <w:tblPr>
        <w:tblW w:w="15930" w:type="dxa"/>
        <w:tblLayout w:type="fixed"/>
        <w:tblBorders>
          <w:top w:val="single" w:sz="6" w:color="auto"/>
        </w:tblBorders>
        <w:tblCellMar>
          <w:top w:w="0" w:type="dxa"/>
          <w:left w:w="0" w:type="dxa"/>
          <w:bottom w:w="0" w:type="dxa"/>
          <w:right w:w="0" w:type="dxa"/>
        </w:tblCellMar>
        <w:tblInd w:w="-180" w:type="dxa"/>
      </w:tblPr>
      <w:tblGrid>
        <w:gridCol w:w="7575"/>
        <w:gridCol w:w="570"/>
        <w:gridCol w:w="7740"/>
      </w:tblGrid>
      <w:tr>
        <w:tc>
          <w:tcPr>
            <w:tcW w:w="7580" w:type="dxa"/>
            <w:shd w:val="clear" w:color="auto" w:fill="FFFFFF"/>
          </w:tcPr>
          <w:p>
            <w:pPr>
              <w:jc w:val="both"/>
              <w:ind w:left="255" w:right="255"/>
              <w:bidi w:val="0"/>
              <w:spacing w:after="135"/>
            </w:pPr>
            <w:r>
              <w:rPr>
                <w:rFonts w:ascii="Tahoma" w:hAnsi="Tahoma" w:cs="Tahoma" w:eastAsia="Tahoma"/>
                <w:b/>
                <w:u w:val="single"/>
                <w:sz w:val="16"/>
              </w:rPr>
              <w:t>Winter cereal crops - 2009 production season</w:t>
            </w:r>
          </w:p>
          <w:p>
            <w:pPr>
              <w:jc w:val="both"/>
              <w:ind w:left="255" w:right="255"/>
              <w:bidi w:val="0"/>
              <w:spacing w:after="135"/>
            </w:pPr>
            <w:r>
              <w:rPr>
                <w:rFonts w:ascii="Tahoma" w:hAnsi="Tahoma" w:cs="Tahoma" w:eastAsia="Tahoma"/>
                <w:b/>
                <w:u w:val="single"/>
                <w:sz w:val="16"/>
              </w:rPr>
              <w:t>Wheat:</w:t>
            </w:r>
            <w:r>
              <w:rPr>
                <w:rFonts w:ascii="Tahoma" w:hAnsi="Tahoma" w:cs="Tahoma" w:eastAsia="Tahoma"/>
                <w:sz w:val="16"/>
              </w:rPr>
              <w:t xml:space="preserve">  The production forecast for wheat was reduced by 32  950 tons to 1,946 million tons, which is 1,66  % lower than the previous forecast of 1,979 million tons.  The area planted to wheat was also reduced by 10  000 ha, from 657  500 ha to 647  500 ha. The average yield of wheat is 3,01 t/ha. </w:t>
            </w:r>
          </w:p>
          <w:p>
            <w:pPr>
              <w:jc w:val="both"/>
              <w:ind w:left="255" w:right="255"/>
              <w:bidi w:val="0"/>
              <w:spacing w:after="135"/>
            </w:pPr>
            <w:r>
              <w:rPr>
                <w:rFonts w:ascii="Tahoma" w:hAnsi="Tahoma" w:cs="Tahoma" w:eastAsia="Tahoma"/>
                <w:sz w:val="16"/>
              </w:rPr>
              <w:t xml:space="preserve">The expected production of wheat in the Western Cape was adjusted downward by 23  000 tons, or 3,17%, as a result of a reduction in the area planted. The reason for this adjustment is that the area harvested was approximately 10  000 ha lower than the area planted. </w:t>
            </w:r>
          </w:p>
          <w:p>
            <w:pPr>
              <w:jc w:val="both"/>
              <w:ind w:left="255" w:right="255"/>
              <w:bidi w:val="0"/>
              <w:spacing w:after="135"/>
            </w:pPr>
            <w:r>
              <w:rPr>
                <w:rFonts w:ascii="Tahoma" w:hAnsi="Tahoma" w:cs="Tahoma" w:eastAsia="Tahoma"/>
                <w:sz w:val="16"/>
              </w:rPr>
              <w:t>An estimated 701  500 tons or 36% is produced in the Western Cape, 622  750 tons or 32% in the Free State and 277  200 tons or 14% in the Northern Cape.</w:t>
            </w:r>
          </w:p>
          <w:p>
            <w:pPr>
              <w:jc w:val="both"/>
              <w:ind w:left="255" w:right="255"/>
              <w:bidi w:val="0"/>
              <w:spacing w:after="165"/>
            </w:pPr>
            <w:r>
              <w:rPr>
                <w:rFonts w:ascii="Tahoma" w:hAnsi="Tahoma" w:cs="Tahoma" w:eastAsia="Tahoma"/>
                <w:b/>
                <w:u w:val="single"/>
                <w:sz w:val="16"/>
              </w:rPr>
              <w:t>Other crops:</w:t>
            </w:r>
            <w:r>
              <w:rPr>
                <w:rFonts w:ascii="Tahoma" w:hAnsi="Tahoma" w:cs="Tahoma" w:eastAsia="Tahoma"/>
                <w:sz w:val="16"/>
              </w:rPr>
              <w:t xml:space="preserve"> The production forecast for </w:t>
            </w:r>
            <w:r>
              <w:rPr>
                <w:rFonts w:ascii="Tahoma" w:hAnsi="Tahoma" w:cs="Tahoma" w:eastAsia="Tahoma"/>
                <w:b/>
                <w:sz w:val="16"/>
              </w:rPr>
              <w:t>malting barley</w:t>
            </w:r>
            <w:r>
              <w:rPr>
                <w:rFonts w:ascii="Tahoma" w:hAnsi="Tahoma" w:cs="Tahoma" w:eastAsia="Tahoma"/>
                <w:sz w:val="16"/>
              </w:rPr>
              <w:t xml:space="preserve"> decreased slightly to 223  622 tons, which is 248 tons or 0,11% lower than the previous forecast of 223  870 tons. The area planted to barley remained unchanged at 74  760 ha, while the expected yield is 2,99 t/ha.</w:t>
            </w:r>
          </w:p>
          <w:p>
            <w:pPr>
              <w:jc w:val="both"/>
              <w:ind w:left="255" w:right="255"/>
              <w:bidi w:val="0"/>
              <w:spacing w:after="135"/>
            </w:pPr>
            <w:r>
              <w:rPr>
                <w:rFonts w:ascii="Tahoma" w:hAnsi="Tahoma" w:cs="Tahoma" w:eastAsia="Tahoma"/>
                <w:sz w:val="16"/>
              </w:rPr>
              <w:t xml:space="preserve">The expected </w:t>
            </w:r>
            <w:r>
              <w:rPr>
                <w:rFonts w:ascii="Tahoma" w:hAnsi="Tahoma" w:cs="Tahoma" w:eastAsia="Tahoma"/>
                <w:b/>
                <w:sz w:val="16"/>
              </w:rPr>
              <w:t>canola</w:t>
            </w:r>
            <w:r>
              <w:rPr>
                <w:rFonts w:ascii="Tahoma" w:hAnsi="Tahoma" w:cs="Tahoma" w:eastAsia="Tahoma"/>
                <w:sz w:val="16"/>
              </w:rPr>
              <w:t xml:space="preserve"> crop remained unchanged at 45  660 tons.  The area estimate for canola also remained unchanged at 38  060 ha, with an expected yield of 1,20 t/ha.</w:t>
            </w:r>
          </w:p>
          <w:p>
            <w:pPr>
              <w:jc w:val="both"/>
              <w:ind w:left="255" w:right="255"/>
              <w:bidi w:val="0"/>
              <w:spacing w:after="135"/>
              <w:tabs>
                <w:tab w:val="left" w:pos="6645"/>
              </w:tabs>
            </w:pPr>
            <w:r>
              <w:rPr>
                <w:rFonts w:ascii="Tahoma" w:hAnsi="Tahoma" w:cs="Tahoma" w:eastAsia="Tahoma"/>
                <w:sz w:val="16"/>
              </w:rPr>
              <w:t>Please note that the final production estimate for winter cereals for the 2009 production season will be released on 23  February 2010.</w:t>
            </w:r>
          </w:p>
        </w:tc>
        <w:tc>
          <w:tcPr>
            <w:tcW w:w="570" w:type="dxa"/>
            <w:shd w:val="clear" w:color="auto" w:fill="FFFFFF"/>
          </w:tcPr>
          <w:p>
            <w:pPr>
              <w:jc w:val="both"/>
              <w:ind w:left="255" w:right="255"/>
              <w:bidi w:val="0"/>
              <w:spacing w:after="135"/>
              <w:tabs>
                <w:tab w:val="left" w:pos="6645"/>
              </w:tabs>
            </w:pPr>
            <w:r>
              <w:rPr>
                <w:rFonts w:ascii="Tahoma" w:hAnsi="Tahoma" w:cs="Tahoma" w:eastAsia="Tahoma"/>
              </w:rPr>
              <w:t/>
            </w:r>
          </w:p>
          <w:p>
            <w:pPr>
              <w:jc w:val="both"/>
              <w:ind w:left="255" w:right="255"/>
              <w:bidi w:val="0"/>
              <w:spacing w:after="135"/>
            </w:pPr>
            <w:r>
              <w:rPr>
                <w:rFonts w:ascii="Tahoma" w:hAnsi="Tahoma" w:cs="Tahoma" w:eastAsia="Tahoma"/>
              </w:rPr>
              <w:t/>
            </w:r>
          </w:p>
        </w:tc>
        <w:tc>
          <w:tcPr>
            <w:tcW w:w="7740" w:type="dxa"/>
            <w:shd w:val="clear" w:color="auto" w:fill="FFFFFF"/>
          </w:tcPr>
          <w:p>
            <w:pPr>
              <w:jc w:val="both"/>
              <w:ind w:left="255" w:right="255"/>
              <w:bidi w:val="0"/>
              <w:spacing w:after="135"/>
            </w:pPr>
            <w:r>
              <w:rPr>
                <w:rFonts w:ascii="Tahoma" w:hAnsi="Tahoma" w:cs="Tahoma" w:eastAsia="Tahoma"/>
                <w:b/>
                <w:u w:val="single"/>
                <w:sz w:val="16"/>
              </w:rPr>
              <w:t>Wintergewasse - 2009 produksie-seisoen</w:t>
            </w:r>
          </w:p>
          <w:p>
            <w:pPr>
              <w:jc w:val="both"/>
              <w:ind w:left="255" w:right="255"/>
              <w:bidi w:val="0"/>
              <w:spacing w:after="135"/>
            </w:pPr>
            <w:r>
              <w:rPr>
                <w:rFonts w:ascii="Tahoma" w:hAnsi="Tahoma" w:cs="Tahoma" w:eastAsia="Tahoma"/>
                <w:b/>
                <w:u w:val="single"/>
                <w:sz w:val="16"/>
              </w:rPr>
              <w:t>Koring:</w:t>
            </w:r>
            <w:r>
              <w:rPr>
                <w:rFonts w:ascii="Tahoma" w:hAnsi="Tahoma" w:cs="Tahoma" w:eastAsia="Tahoma"/>
                <w:sz w:val="16"/>
              </w:rPr>
              <w:t xml:space="preserve">  Die produksieskatting vir koring is afwaarts aangepas met 32  950 ton tot 1,946 miljoen ton, wat 1,66% laer is as die 1,979 miljoen ton van die vorige skatting.  Die oppervlakte beplant met koring is ook afwaarts aangepas met 10  000 ha, vanaf 657  500 ha na 647  500 ha. Die opbrengs is 3,01 t/ha.</w:t>
            </w:r>
          </w:p>
          <w:p>
            <w:pPr>
              <w:jc w:val="both"/>
              <w:ind w:left="255" w:right="255"/>
              <w:bidi w:val="0"/>
              <w:spacing w:after="135"/>
            </w:pPr>
            <w:r>
              <w:rPr>
                <w:rFonts w:ascii="Tahoma" w:hAnsi="Tahoma" w:cs="Tahoma" w:eastAsia="Tahoma"/>
                <w:sz w:val="16"/>
              </w:rPr>
              <w:t>Die verwagte produksie van koring is afwaarts aangepas vir die Wes-Kaap met 23  000 ton or 3,17%, as gevolg van ’n vermindering in die oppervlakte beplant. Die rede vir die aanpassing is dat die oppervlakte geoes ongeveer 10  000 ha kleiner was as die oppervlakte aangeplant.</w:t>
            </w:r>
          </w:p>
          <w:p>
            <w:pPr>
              <w:jc w:val="both"/>
              <w:ind w:left="255" w:right="255"/>
              <w:bidi w:val="0"/>
              <w:spacing w:after="135"/>
            </w:pPr>
            <w:r>
              <w:rPr>
                <w:rFonts w:ascii="Tahoma" w:hAnsi="Tahoma" w:cs="Tahoma" w:eastAsia="Tahoma"/>
                <w:sz w:val="16"/>
              </w:rPr>
              <w:t>Die beraamde produksie in die Wes-Kaap is 701  500 ton of 36%, die produksie in die Vrystaat is 622  750 ton of 32  % en 277  200 ton of 14% in die Noord-Kaap.</w:t>
            </w:r>
          </w:p>
          <w:p>
            <w:pPr>
              <w:jc w:val="both"/>
              <w:ind w:left="255" w:right="255"/>
              <w:bidi w:val="0"/>
              <w:spacing w:after="45"/>
            </w:pPr>
            <w:r>
              <w:rPr>
                <w:rFonts w:ascii="Tahoma" w:hAnsi="Tahoma" w:cs="Tahoma" w:eastAsia="Tahoma"/>
                <w:b/>
                <w:u w:val="single"/>
                <w:sz w:val="16"/>
              </w:rPr>
              <w:t>Ander gewasse</w:t>
            </w:r>
            <w:r>
              <w:rPr>
                <w:rFonts w:ascii="Tahoma" w:hAnsi="Tahoma" w:cs="Tahoma" w:eastAsia="Tahoma"/>
                <w:sz w:val="16"/>
              </w:rPr>
              <w:t xml:space="preserve">: Die produksieskatting vir </w:t>
            </w:r>
            <w:r>
              <w:rPr>
                <w:rFonts w:ascii="Tahoma" w:hAnsi="Tahoma" w:cs="Tahoma" w:eastAsia="Tahoma"/>
                <w:b/>
                <w:sz w:val="16"/>
              </w:rPr>
              <w:t>moutgars</w:t>
            </w:r>
            <w:r>
              <w:rPr>
                <w:rFonts w:ascii="Tahoma" w:hAnsi="Tahoma" w:cs="Tahoma" w:eastAsia="Tahoma"/>
                <w:sz w:val="16"/>
              </w:rPr>
              <w:t xml:space="preserve"> is effens afwaarts aangepas na 223  622 ton, wat 248 ton of 0,11% laer is as die 223  870 ton van die vorige skatting.  Die oppervlakteskatting is onveranderd gelaat op 74  760 ha, terwyl die verwagte opbrengs 2,99 t/ha beloop.</w:t>
            </w:r>
          </w:p>
          <w:p>
            <w:pPr>
              <w:jc w:val="both"/>
              <w:ind w:left="255" w:right="255"/>
              <w:bidi w:val="0"/>
              <w:spacing w:after="135"/>
            </w:pPr>
            <w:r>
              <w:rPr>
                <w:rFonts w:ascii="Tahoma" w:hAnsi="Tahoma" w:cs="Tahoma" w:eastAsia="Tahoma"/>
                <w:sz w:val="16"/>
              </w:rPr>
              <w:t xml:space="preserve">Die verwagte </w:t>
            </w:r>
            <w:r>
              <w:rPr>
                <w:rFonts w:ascii="Tahoma" w:hAnsi="Tahoma" w:cs="Tahoma" w:eastAsia="Tahoma"/>
                <w:b/>
                <w:sz w:val="16"/>
              </w:rPr>
              <w:t>kanola</w:t>
            </w:r>
            <w:r>
              <w:rPr>
                <w:rFonts w:ascii="Tahoma" w:hAnsi="Tahoma" w:cs="Tahoma" w:eastAsia="Tahoma"/>
                <w:sz w:val="16"/>
              </w:rPr>
              <w:t>-oes is onveranderd gelaat op 45  660 ton.  Die oppervlakteskatting vir kanola is ook onveranderd gelaat op 38  060 ha, met ŉ verwagte opbrengs van 1,20 t/ha.</w:t>
            </w:r>
          </w:p>
          <w:p>
            <w:pPr>
              <w:jc w:val="both"/>
              <w:ind w:left="255" w:right="255"/>
              <w:bidi w:val="0"/>
              <w:spacing w:after="135"/>
            </w:pPr>
            <w:r>
              <w:rPr>
                <w:rFonts w:ascii="Tahoma" w:hAnsi="Tahoma" w:cs="Tahoma" w:eastAsia="Tahoma"/>
                <w:sz w:val="16"/>
              </w:rPr>
              <w:t>Neem asseblief kennis dat die finale produksieskatting vir wintergewasse vir die 2009 produksieseisoen 23 Februarie 2010 vrygestel sal word.</w:t>
            </w:r>
          </w:p>
        </w:tc>
      </w:tr>
    </w:tbl>
    <w:p>
      <w:pPr>
        <w:bidi w:val="0"/>
      </w:pPr>
      <w:r>
        <w:rPr>
          <w:rFonts w:ascii="Tahoma" w:hAnsi="Tahoma" w:cs="Tahoma" w:eastAsia="Tahoma"/>
        </w:rPr>
        <w:t/>
      </w:r>
    </w:p>
    <w:p>
      <w:pPr>
        <w:bidi w:val="0"/>
      </w:pPr>
      <w:r>
        <w:t/>
      </w:r>
    </w:p>
    <w:p>
      <w:pPr>
        <w:bidi w:val="0"/>
      </w:pPr>
      <w:r>
        <w:rPr>
          <w:rFonts w:ascii="Tahoma" w:hAnsi="Tahoma" w:cs="Tahoma" w:eastAsia="Tahoma"/>
        </w:rPr>
        <w:t/>
      </w:r>
    </w:p>
    <w:tbl>
      <w:tblPr>
        <w:tblW w:w="16110" w:type="dxa"/>
        <w:tblLayout w:type="fixed"/>
        <w:tblBorders>
          <w:top w:val="single" w:sz="6" w:color="auto"/>
        </w:tblBorders>
        <w:tblCellMar>
          <w:top w:w="0" w:type="dxa"/>
          <w:left w:w="0" w:type="dxa"/>
          <w:bottom w:w="0" w:type="dxa"/>
          <w:right w:w="0" w:type="dxa"/>
        </w:tblCellMar>
        <w:tblInd w:w="-180" w:type="dxa"/>
      </w:tblPr>
      <w:tblGrid>
        <w:gridCol w:w="7575"/>
        <w:gridCol w:w="570"/>
        <w:gridCol w:w="7920"/>
      </w:tblGrid>
      <w:tr>
        <w:tc>
          <w:tcPr>
            <w:tcW w:w="7580" w:type="dxa"/>
            <w:shd w:val="clear" w:color="auto" w:fill="FFFFFF"/>
          </w:tcPr>
          <w:p>
            <w:pPr>
              <w:jc w:val="both"/>
              <w:ind w:left="255" w:right="255"/>
              <w:bidi w:val="0"/>
              <w:spacing w:before="75" w:after="120"/>
            </w:pPr>
            <w:r>
              <w:rPr>
                <w:rFonts w:ascii="Tahoma" w:hAnsi="Tahoma" w:cs="Tahoma" w:eastAsia="Tahoma"/>
                <w:b/>
                <w:sz w:val="16"/>
              </w:rPr>
              <w:t>Information is available on the internet at http://</w:t>
            </w:r>
            <w:hyperlink r:id="hrId7">
              <w:r>
                <w:rPr>
                  <w:rFonts w:ascii="Tahoma" w:hAnsi="Tahoma" w:cs="Tahoma" w:eastAsia="Tahoma"/>
                  <w:b/>
                  <w:sz w:val="16"/>
                </w:rPr>
                <w:t>www.daff.gov.za/crop estimates</w:t>
              </w:r>
            </w:hyperlink>
            <w:r>
              <w:rPr>
                <w:rFonts w:ascii="Tahoma" w:hAnsi="Tahoma" w:cs="Tahoma" w:eastAsia="Tahoma"/>
                <w:b/>
                <w:sz w:val="16"/>
              </w:rPr>
              <w:t xml:space="preserve"> or </w:t>
            </w:r>
            <w:hyperlink r:id="hrId8">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570" w:type="dxa"/>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920" w:type="dxa"/>
            <w:shd w:val="clear" w:color="auto" w:fill="FFFFFF"/>
          </w:tcPr>
          <w:p>
            <w:pPr>
              <w:jc w:val="both"/>
              <w:ind w:left="255" w:right="255"/>
              <w:bidi w:val="0"/>
              <w:spacing w:before="75" w:after="120"/>
            </w:pPr>
            <w:r>
              <w:rPr>
                <w:rFonts w:ascii="Tahoma" w:hAnsi="Tahoma" w:cs="Tahoma" w:eastAsia="Tahoma"/>
                <w:b/>
                <w:sz w:val="16"/>
              </w:rPr>
              <w:t>Inligting is beskikbaar op die internet by http://</w:t>
            </w:r>
            <w:hyperlink r:id="hrId9">
              <w:r>
                <w:rPr>
                  <w:rFonts w:ascii="Tahoma" w:hAnsi="Tahoma" w:cs="Tahoma" w:eastAsia="Tahoma"/>
                  <w:b/>
                  <w:sz w:val="16"/>
                </w:rPr>
                <w:t>www.daff.gov.za/crop estimates</w:t>
              </w:r>
            </w:hyperlink>
            <w:r>
              <w:rPr>
                <w:rFonts w:ascii="Tahoma" w:hAnsi="Tahoma" w:cs="Tahoma" w:eastAsia="Tahoma"/>
                <w:b/>
                <w:sz w:val="16"/>
              </w:rPr>
              <w:t xml:space="preserve"> of by </w:t>
            </w:r>
            <w:hyperlink r:id="hrId10">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pPr>
        <w:pStyle w:val="42"/>
        <w:jc w:val="left"/>
        <w:ind w:right="-60"/>
        <w:bidi w:val="0"/>
        <w:spacing w:before="120" w:after="60"/>
      </w:pPr>
      <w:r>
        <w:t/>
      </w:r>
    </w:p>
    <w:p>
      <w:pPr>
        <w:pStyle w:val="42"/>
        <w:bidi w:val="0"/>
      </w:pPr>
      <w:r>
        <w:t/>
      </w:r>
    </w:p>
    <w:p>
      <w:pPr>
        <w:bidi w:val="0"/>
      </w:pPr>
      <w:r>
        <w:t/>
      </w:r>
    </w:p>
    <w:sectPr>
      <w:pgSz w:w="16837" w:h="11905" w:orient="landscape"/>
      <w:pgMar w:top="1440" w:right="1440" w:bottom="1440" w:left="1440" w:header="397" w:footer="37"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 w:name="Symbol">
    <w:charset w:val="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bullet"/>
      <w:lvlText w:val="·"/>
      <w:lvlJc w:val="left"/>
      <w:pPr>
        <w:ind w:left="720" w:hanging="360"/>
        <w:tab w:val="num" w:pos="720"/>
      </w:pPr>
      <w:rPr>
        <w:rFonts w:ascii="Symbol" w:hAnsi="Symbol" w:cs="Symbol" w:eastAsia="Symbol"/>
        <w:b w:val="0"/>
        <w:i w:val="0"/>
        <w:strike w:val="0"/>
        <w:sz w:val="24"/>
        <w:color w:val="auto"/>
        <w:u w:val="none"/>
      </w:rPr>
    </w:lvl>
  </w:abstractNum>
  <w:abstractNum w:abstractNumId="1">
    <w:multiLevelType w:val="singleLevel"/>
    <w:lvl w:ilvl="0">
      <w:numFmt w:val="bullet"/>
      <w:lvlText w:val="·"/>
      <w:lvlJc w:val="left"/>
      <w:pPr>
        <w:ind w:left="720" w:hanging="360"/>
        <w:tab w:val="num" w:pos="720"/>
      </w:pPr>
      <w:rPr>
        <w:rFonts w:ascii="Symbol" w:hAnsi="Symbol" w:cs="Symbol" w:eastAsia="Symbol"/>
        <w:b w:val="0"/>
        <w:i w:val="0"/>
        <w:strike w:val="0"/>
        <w:sz w:val="24"/>
        <w:color w:val="auto"/>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ahoma" w:hAnsi="Tahoma" w:cs="Tahoma" w:eastAsia="Tahoma"/>
    </w:rPr>
  </w:style>
  <w:style w:type="paragraph" w:styleId="1">
    <w:name w:val="Contents 2"/>
    <w:basedOn w:val="39"/>
    <w:next w:val="39"/>
    <w:pPr>
      <w:ind w:left="1440" w:hanging="435"/>
    </w:pPr>
    <w:rPr>
      <w:rFonts w:ascii="Tahoma" w:hAnsi="Tahoma" w:cs="Tahoma" w:eastAsia="Tahoma"/>
    </w:rPr>
  </w:style>
  <w:style w:type="paragraph" w:styleId="2">
    <w:name w:val="Contents 3"/>
    <w:basedOn w:val="39"/>
    <w:next w:val="39"/>
    <w:pPr>
      <w:ind w:left="2160" w:hanging="435"/>
    </w:pPr>
    <w:rPr>
      <w:rFonts w:ascii="Tahoma" w:hAnsi="Tahoma" w:cs="Tahoma" w:eastAsia="Tahoma"/>
    </w:rPr>
  </w:style>
  <w:style w:type="paragraph" w:styleId="3">
    <w:name w:val="Lower Roman List"/>
    <w:basedOn w:val="39"/>
    <w:pPr>
      <w:ind w:left="720" w:hanging="435"/>
    </w:pPr>
    <w:rPr>
      <w:rFonts w:ascii="Tahoma" w:hAnsi="Tahoma" w:cs="Tahoma" w:eastAsia="Tahoma"/>
    </w:rPr>
  </w:style>
  <w:style w:type="paragraph" w:styleId="4">
    <w:name w:val="Numbered Heading 1"/>
    <w:basedOn w:val="28"/>
    <w:next w:val="39"/>
    <w:pPr>
      <w:spacing w:before="0" w:after="0"/>
      <w:tabs>
        <w:tab w:val="left" w:pos="435"/>
        <w:tab w:val="clear" w:pos="0"/>
      </w:tabs>
    </w:pPr>
    <w:rPr>
      <w:rFonts w:ascii="Tahoma" w:hAnsi="Tahoma" w:cs="Tahoma" w:eastAsia="Tahoma"/>
      <w:b w:val="0"/>
      <w:sz w:val="24"/>
    </w:rPr>
  </w:style>
  <w:style w:type="paragraph" w:styleId="5">
    <w:name w:val="Numbered Heading 2"/>
    <w:basedOn w:val="29"/>
    <w:next w:val="39"/>
    <w:pPr>
      <w:spacing w:before="0" w:after="0"/>
      <w:tabs>
        <w:tab w:val="left" w:pos="435"/>
        <w:tab w:val="clear" w:pos="0"/>
      </w:tabs>
    </w:pPr>
    <w:rPr>
      <w:rFonts w:ascii="Tahoma" w:hAnsi="Tahoma" w:cs="Tahoma" w:eastAsia="Tahoma"/>
      <w:b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9"/>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ahoma" w:hAnsi="Tahoma" w:cs="Tahoma" w:eastAsia="Tahoma"/>
    </w:rPr>
  </w:style>
  <w:style w:type="paragraph" w:styleId="10">
    <w:name w:val="Numbered Heading 3"/>
    <w:basedOn w:val="32"/>
    <w:next w:val="39"/>
    <w:pPr>
      <w:spacing w:before="0" w:after="0"/>
      <w:tabs>
        <w:tab w:val="left" w:pos="435"/>
        <w:tab w:val="clear" w:pos="0"/>
      </w:tabs>
    </w:pPr>
    <w:rPr>
      <w:rFonts w:ascii="Tahoma" w:hAnsi="Tahoma" w:cs="Tahoma" w:eastAsia="Tahoma"/>
      <w:b w:val="0"/>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Header"/>
    <w:basedOn w:val="39"/>
    <w:pPr>
      <w:tabs>
        <w:tab w:val="center" w:pos="4320"/>
        <w:tab w:val="center" w:pos="8640"/>
        <w:tab w:val="clear" w:pos="0"/>
      </w:tabs>
    </w:pPr>
    <w:rPr>
      <w:sz w:val="20"/>
    </w:rPr>
  </w:style>
  <w:style w:type="paragraph" w:styleId="14">
    <w:name w:val="Triangle List"/>
    <w:pPr>
      <w:ind w:left="720" w:hanging="435"/>
    </w:pPr>
    <w:rPr>
      <w:rFonts w:ascii="Tahoma" w:hAnsi="Tahoma" w:cs="Tahoma" w:eastAsia="Tahoma"/>
      <w:sz w:val="24"/>
    </w:rPr>
  </w:style>
  <w:style w:type="paragraph" w:styleId="15">
    <w:name w:val="Square List"/>
    <w:pPr>
      <w:ind w:left="720" w:hanging="435"/>
    </w:pPr>
    <w:rPr>
      <w:rFonts w:ascii="Tahoma" w:hAnsi="Tahoma" w:cs="Tahoma" w:eastAsia="Tahoma"/>
      <w:sz w:val="24"/>
    </w:rPr>
  </w:style>
  <w:style w:type="paragraph" w:styleId="16">
    <w:name w:val="Body Text"/>
    <w:basedOn w:val="39"/>
    <w:pPr>
      <w:spacing w:after="120"/>
    </w:pPr>
  </w:style>
  <w:style w:type="paragraph" w:styleId="17">
    <w:name w:val="Dashed List"/>
    <w:pPr>
      <w:ind w:left="720" w:hanging="435"/>
    </w:pPr>
    <w:rPr>
      <w:rFonts w:ascii="Tahoma" w:hAnsi="Tahoma" w:cs="Tahoma" w:eastAsia="Tahoma"/>
      <w:sz w:val="24"/>
    </w:rPr>
  </w:style>
  <w:style w:type="paragraph" w:styleId="18">
    <w:name w:val="Upper Roman List"/>
    <w:basedOn w:val="11"/>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ahoma" w:hAnsi="Tahoma" w:cs="Tahoma" w:eastAsia="Tahoma"/>
      <w:b/>
      <w:sz w:val="48"/>
    </w:rPr>
  </w:style>
  <w:style w:type="paragraph" w:styleId="22">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23">
    <w:name w:val="Body Text Indent"/>
    <w:basedOn w:val="39"/>
    <w:pPr>
      <w:ind w:left="285"/>
      <w:spacing w:after="120"/>
    </w:p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9"/>
    <w:link w:val="c27"/>
    <w:rPr>
      <w:rFonts w:ascii="Tahoma" w:hAnsi="Tahoma" w:cs="Tahoma" w:eastAsia="Tahoma"/>
      <w:sz w:val="20"/>
    </w:rPr>
  </w:style>
  <w:style w:type="character" w:styleId="c27">
    <w:name w:val="Footnote Text Text"/>
    <w:basedOn w:val="def"/>
    <w:link w:val="27"/>
    <w:rPr>
      <w:rFonts w:ascii="Tahoma" w:hAnsi="Tahoma" w:cs="Tahoma" w:eastAsia="Tahoma"/>
      <w:sz w:val="20"/>
    </w:rPr>
  </w:style>
  <w:style w:type="paragraph" w:styleId="28">
    <w:name w:val="Heading 1"/>
    <w:basedOn w:val="39"/>
    <w:next w:val="39"/>
    <w:pPr>
      <w:spacing w:before="435" w:after="60"/>
    </w:pPr>
    <w:rPr>
      <w:rFonts w:ascii="Arial" w:hAnsi="Arial" w:cs="Arial" w:eastAsia="Arial"/>
      <w:b/>
      <w:sz w:val="34"/>
    </w:rPr>
  </w:style>
  <w:style w:type="paragraph" w:styleId="29">
    <w:name w:val="Heading 2"/>
    <w:basedOn w:val="39"/>
    <w:next w:val="39"/>
    <w:pPr>
      <w:spacing w:before="435" w:after="60"/>
    </w:pPr>
    <w:rPr>
      <w:rFonts w:ascii="Arial" w:hAnsi="Arial" w:cs="Arial" w:eastAsia="Arial"/>
      <w:b/>
      <w:sz w:val="28"/>
    </w:rPr>
  </w:style>
  <w:style w:type="paragraph" w:styleId="30">
    <w:name w:val="Contents Header"/>
    <w:basedOn w:val="39"/>
    <w:next w:val="39"/>
    <w:pPr>
      <w:jc w:val="center"/>
      <w:spacing w:before="240" w:after="120"/>
    </w:pPr>
    <w:rPr>
      <w:rFonts w:ascii="Arial" w:hAnsi="Arial" w:cs="Arial" w:eastAsia="Arial"/>
      <w:b/>
      <w:sz w:val="32"/>
    </w:rPr>
  </w:style>
  <w:style w:type="paragraph" w:styleId="31">
    <w:name w:val="Heading 4"/>
    <w:basedOn w:val="39"/>
    <w:next w:val="39"/>
    <w:pPr>
      <w:spacing w:before="435" w:after="60"/>
    </w:pPr>
    <w:rPr>
      <w:rFonts w:ascii="Arial" w:hAnsi="Arial" w:cs="Arial" w:eastAsia="Arial"/>
      <w:b/>
    </w:rPr>
  </w:style>
  <w:style w:type="paragraph" w:styleId="32">
    <w:name w:val="Heading 3"/>
    <w:basedOn w:val="39"/>
    <w:next w:val="39"/>
    <w:pPr>
      <w:spacing w:before="435" w:after="60"/>
    </w:pPr>
    <w:rPr>
      <w:rFonts w:ascii="Arial" w:hAnsi="Arial" w:cs="Arial" w:eastAsia="Arial"/>
      <w:b/>
    </w:rPr>
  </w:style>
  <w:style w:type="paragraph" w:styleId="33">
    <w:name w:val="Lower Case List"/>
    <w:basedOn w:val="11"/>
  </w:style>
  <w:style w:type="paragraph" w:styleId="34">
    <w:name w:val="Heading 7"/>
    <w:basedOn w:val="39"/>
    <w:next w:val="39"/>
    <w:pPr>
      <w:keepNext/>
      <w:spacing w:before="120" w:after="120"/>
    </w:pPr>
    <w:rPr>
      <w:rFonts w:ascii="Tahoma" w:hAnsi="Tahoma" w:cs="Tahoma" w:eastAsia="Tahoma"/>
      <w:b/>
      <w:sz w:val="48"/>
    </w:rPr>
  </w:style>
  <w:style w:type="paragraph" w:styleId="35">
    <w:name w:val="Document Map"/>
    <w:basedOn w:val="39"/>
    <w:rPr>
      <w:rFonts w:ascii="Tahoma" w:hAnsi="Tahoma" w:cs="Tahoma" w:eastAsia="Tahoma"/>
      <w:sz w:val="20"/>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ahoma" w:hAnsi="Tahoma" w:cs="Tahoma" w:eastAsia="Tahoma"/>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ahoma" w:hAnsi="Tahoma" w:cs="Tahoma" w:eastAsia="Tahoma"/>
      <w:sz w:val="24"/>
    </w:rPr>
  </w:style>
  <w:style w:type="character" w:styleId="c41">
    <w:name w:val="Footnote Reference"/>
    <w:basedOn w:val="def"/>
    <w:rPr>
      <w:rFonts w:ascii="Tahoma" w:hAnsi="Tahoma" w:cs="Tahoma" w:eastAsia="Tahoma"/>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http://www.daff.gov.za/crop" TargetMode="External"/><Relationship Id="hrId2" Type="http://schemas.openxmlformats.org/officeDocument/2006/relationships/hyperlink" Target="http://www.sagis.org.za/CEC" TargetMode="External"/><Relationship Id="hrId3" Type="http://schemas.openxmlformats.org/officeDocument/2006/relationships/hyperlink" Target="http://www.daff.gov.za/links/crop" TargetMode="External"/><Relationship Id="hrId4" Type="http://schemas.openxmlformats.org/officeDocument/2006/relationships/hyperlink" Target="http://www.sagis.org.za" TargetMode="External"/><Relationship Id="hrId5" Type="http://schemas.openxmlformats.org/officeDocument/2006/relationships/hyperlink" Target="http://www.daff.gov.za/links/crop" TargetMode="External"/><Relationship Id="hrId6" Type="http://schemas.openxmlformats.org/officeDocument/2006/relationships/hyperlink" Target="http://www.sagis.org.za" TargetMode="External"/><Relationship Id="hrId7" Type="http://schemas.openxmlformats.org/officeDocument/2006/relationships/hyperlink" Target="http://www.daff.gov.za/crop" TargetMode="External"/><Relationship Id="hrId8" Type="http://schemas.openxmlformats.org/officeDocument/2006/relationships/hyperlink" Target="http://www.sagis.org.za" TargetMode="External"/><Relationship Id="hrId9" Type="http://schemas.openxmlformats.org/officeDocument/2006/relationships/hyperlink" Target="http://www.daff.gov.za/crop" TargetMode="External"/><Relationship Id="hrId10" Type="http://schemas.openxmlformats.org/officeDocument/2006/relationships/hyperlink" Target="http://www.sagis.org.za" TargetMode="External"/></Relationships>
</file>