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34"/>
              <w:bidi w:val="0"/>
              <w:spacing w:before="240"/>
            </w:pPr>
            <w:r>
              <w:rPr>
                <w:sz w:val="40"/>
              </w:rPr>
              <w:t>O</w:t>
            </w:r>
            <w:r>
              <w:rPr>
                <w:sz w:val="36"/>
              </w:rPr>
              <w:t>ESSKATTINGSKOMITEE</w:t>
            </w:r>
          </w:p>
        </w:tc>
        <w:tc>
          <w:tcPr>
            <w:tcW w:w="3240" w:type="dxa"/>
            <w:shd w:val="clear" w:color="auto" w:fill="FFFFFF"/>
          </w:tcPr>
          <w:p>
            <w:pPr>
              <w:pStyle w:val="34"/>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34"/>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34"/>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16"/>
        </w:rPr>
        <w:t>27 Maart / March 2008</w:t>
      </w:r>
    </w:p>
    <w:p>
      <w:pPr>
        <w:jc w:val="both"/>
        <w:bidi w:val="0"/>
      </w:pPr>
      <w:r>
        <w:t/>
      </w:r>
    </w:p>
    <w:p>
      <w:pPr>
        <w:jc w:val="both"/>
        <w:bidi w:val="0"/>
      </w:pPr>
      <w:r>
        <w:t/>
      </w:r>
    </w:p>
    <w:p>
      <w:pPr>
        <w:bidi w:val="0"/>
      </w:pPr>
      <w:r>
        <w:rPr>
          <w:rFonts w:ascii="Tahoma" w:hAnsi="Tahoma" w:cs="Tahoma" w:eastAsia="Tahoma"/>
        </w:rPr>
        <w:t/>
      </w:r>
    </w:p>
    <w:p>
      <w:pPr>
        <w:bidi w:val="0"/>
      </w:pPr>
      <w:r>
        <w:t/>
      </w:r>
    </w:p>
    <w:p>
      <w:pPr>
        <w:pStyle w:val="41"/>
        <w:jc w:val="left"/>
        <w:ind w:right="-60"/>
        <w:bidi w:val="0"/>
        <w:spacing w:after="60"/>
      </w:pPr>
      <w:r>
        <w:rPr>
          <w:sz w:val="14"/>
        </w:rPr>
        <w:t>OPPERVLAK- EN TWEEDE PRODUKSIESKATTING VAN SOMERGEWASSE: 2007/08-SEISOEN</w:t>
      </w:r>
    </w:p>
    <w:p>
      <w:pPr>
        <w:pStyle w:val="41"/>
        <w:jc w:val="left"/>
        <w:ind w:right="-60"/>
        <w:bidi w:val="0"/>
        <w:spacing w:after="120"/>
      </w:pPr>
      <w:r>
        <w:rPr>
          <w:sz w:val="14"/>
        </w:rPr>
        <w:t>AREA AND SECOND PRODUCTION FORECAST OF SUMMER CROPS: 2007/08 SEASON</w:t>
      </w:r>
    </w:p>
    <w:p>
      <w:pPr>
        <w:bidi w:val="0"/>
      </w:pPr>
      <w:r>
        <w:rPr>
          <w:rFonts w:ascii="Tahoma" w:hAnsi="Tahoma" w:cs="Tahoma" w:eastAsia="Tahoma"/>
        </w:rPr>
        <w:t/>
      </w:r>
    </w:p>
    <w:tbl>
      <w:tblPr>
        <w:tblW w:w="9550" w:type="dxa"/>
        <w:tblLayout w:type="fixed"/>
        <w:tblCellMar>
          <w:top w:w="0" w:type="dxa"/>
          <w:left w:w="0" w:type="dxa"/>
          <w:bottom w:w="0" w:type="dxa"/>
          <w:right w:w="0" w:type="dxa"/>
        </w:tblCellMar>
        <w:tblInd w:w="-105" w:type="dxa"/>
      </w:tblPr>
      <w:tblGrid>
        <w:gridCol w:w="2370"/>
        <w:gridCol w:w="1260"/>
        <w:gridCol w:w="1215"/>
        <w:gridCol w:w="1215"/>
        <w:gridCol w:w="1260"/>
        <w:gridCol w:w="1110"/>
        <w:gridCol w:w="1110"/>
      </w:tblGrid>
      <w:tr>
        <w:tc>
          <w:tcPr>
            <w:tcW w:w="2370" w:type="dxa"/>
            <w:shd w:val="clear" w:color="auto" w:fill="FFFFFF"/>
          </w:tcPr>
          <w:p>
            <w:pPr>
              <w:pStyle w:val="41"/>
              <w:jc w:val="both"/>
              <w:ind w:right="-60"/>
              <w:bidi w:val="0"/>
              <w:spacing w:before="240"/>
            </w:pPr>
            <w:r>
              <w:rPr>
                <w:sz w:val="14"/>
              </w:rPr>
              <w:t>GEWAS/CROP</w:t>
            </w:r>
          </w:p>
        </w:tc>
        <w:tc>
          <w:tcPr>
            <w:tcW w:w="1260" w:type="dxa"/>
            <w:shd w:val="clear" w:color="auto" w:fill="FFFFFF"/>
          </w:tcPr>
          <w:p>
            <w:pPr>
              <w:pStyle w:val="41"/>
              <w:jc w:val="both"/>
              <w:ind w:right="-60"/>
              <w:bidi w:val="0"/>
              <w:spacing w:before="240"/>
            </w:pPr>
            <w:r>
              <w:rPr>
                <w:u w:val="none"/>
              </w:rPr>
              <w:t/>
            </w:r>
          </w:p>
          <w:p>
            <w:pPr>
              <w:pStyle w:val="41"/>
              <w:ind w:right="-60"/>
              <w:bidi w:val="0"/>
              <w:spacing w:before="60"/>
            </w:pPr>
            <w:r>
              <w:rPr>
                <w:sz w:val="14"/>
              </w:rPr>
              <w:t>Opp beplant/</w:t>
            </w:r>
          </w:p>
          <w:p>
            <w:pPr>
              <w:pStyle w:val="41"/>
              <w:ind w:right="-60"/>
              <w:bidi w:val="0"/>
            </w:pPr>
            <w:r>
              <w:rPr>
                <w:sz w:val="14"/>
              </w:rPr>
              <w:t>Area planted</w:t>
            </w:r>
          </w:p>
          <w:p>
            <w:pPr>
              <w:pStyle w:val="41"/>
              <w:ind w:right="-60"/>
              <w:bidi w:val="0"/>
            </w:pPr>
            <w:r>
              <w:rPr>
                <w:sz w:val="14"/>
              </w:rPr>
              <w:t>2007/08</w:t>
            </w:r>
          </w:p>
        </w:tc>
        <w:tc>
          <w:tcPr>
            <w:tcW w:w="1220" w:type="dxa"/>
            <w:shd w:val="clear" w:color="auto" w:fill="FFFFFF"/>
          </w:tcPr>
          <w:p>
            <w:pPr>
              <w:pStyle w:val="41"/>
              <w:ind w:right="-60"/>
              <w:bidi w:val="0"/>
            </w:pPr>
            <w:r>
              <w:rPr>
                <w:u w:val="none"/>
              </w:rPr>
              <w:t/>
            </w:r>
          </w:p>
          <w:p>
            <w:pPr>
              <w:pStyle w:val="41"/>
              <w:ind w:right="-60"/>
              <w:bidi w:val="0"/>
              <w:spacing w:before="60"/>
            </w:pPr>
            <w:r>
              <w:rPr>
                <w:sz w:val="14"/>
              </w:rPr>
              <w:t>2</w:t>
            </w:r>
            <w:r>
              <w:rPr>
                <w:vertAlign w:val="superscript"/>
                <w:sz w:val="14"/>
              </w:rPr>
              <w:t xml:space="preserve">de </w:t>
            </w:r>
            <w:r>
              <w:rPr>
                <w:sz w:val="14"/>
              </w:rPr>
              <w:t>skatting/</w:t>
            </w:r>
          </w:p>
          <w:p>
            <w:pPr>
              <w:pStyle w:val="41"/>
              <w:ind w:right="-60"/>
              <w:bidi w:val="0"/>
            </w:pPr>
            <w:r>
              <w:rPr>
                <w:sz w:val="14"/>
              </w:rPr>
              <w:t>2</w:t>
            </w:r>
            <w:r>
              <w:rPr>
                <w:vertAlign w:val="superscript"/>
                <w:sz w:val="14"/>
              </w:rPr>
              <w:t xml:space="preserve">nd </w:t>
            </w:r>
            <w:r>
              <w:rPr>
                <w:sz w:val="14"/>
              </w:rPr>
              <w:t>forecast</w:t>
            </w:r>
          </w:p>
          <w:p>
            <w:pPr>
              <w:pStyle w:val="41"/>
              <w:ind w:right="-60"/>
              <w:bidi w:val="0"/>
            </w:pPr>
            <w:r>
              <w:rPr>
                <w:sz w:val="14"/>
              </w:rPr>
              <w:t>2007/08</w:t>
            </w:r>
          </w:p>
        </w:tc>
        <w:tc>
          <w:tcPr>
            <w:tcW w:w="1220" w:type="dxa"/>
            <w:shd w:val="clear" w:color="auto" w:fill="FFFFFF"/>
          </w:tcPr>
          <w:p>
            <w:pPr>
              <w:pStyle w:val="41"/>
              <w:ind w:right="-60"/>
              <w:bidi w:val="0"/>
            </w:pPr>
            <w:r>
              <w:rPr>
                <w:u w:val="none"/>
              </w:rPr>
              <w:t/>
            </w:r>
          </w:p>
          <w:p>
            <w:pPr>
              <w:pStyle w:val="41"/>
              <w:ind w:right="-60"/>
              <w:bidi w:val="0"/>
              <w:spacing w:before="60"/>
            </w:pPr>
            <w:r>
              <w:rPr>
                <w:sz w:val="14"/>
              </w:rPr>
              <w:t>1</w:t>
            </w:r>
            <w:r>
              <w:rPr>
                <w:vertAlign w:val="superscript"/>
                <w:sz w:val="14"/>
              </w:rPr>
              <w:t xml:space="preserve">ste </w:t>
            </w:r>
            <w:r>
              <w:rPr>
                <w:sz w:val="14"/>
              </w:rPr>
              <w:t>skatting/</w:t>
            </w:r>
          </w:p>
          <w:p>
            <w:pPr>
              <w:pStyle w:val="41"/>
              <w:ind w:right="-60"/>
              <w:bidi w:val="0"/>
            </w:pPr>
            <w:r>
              <w:rPr>
                <w:sz w:val="14"/>
              </w:rPr>
              <w:t>1</w:t>
            </w:r>
            <w:r>
              <w:rPr>
                <w:vertAlign w:val="superscript"/>
                <w:sz w:val="14"/>
              </w:rPr>
              <w:t xml:space="preserve">st </w:t>
            </w:r>
            <w:r>
              <w:rPr>
                <w:sz w:val="14"/>
              </w:rPr>
              <w:t>forecast</w:t>
            </w:r>
          </w:p>
          <w:p>
            <w:pPr>
              <w:pStyle w:val="41"/>
              <w:ind w:right="-60"/>
              <w:bidi w:val="0"/>
            </w:pPr>
            <w:r>
              <w:rPr>
                <w:sz w:val="14"/>
              </w:rPr>
              <w:t>2007/08</w:t>
            </w:r>
          </w:p>
        </w:tc>
        <w:tc>
          <w:tcPr>
            <w:tcW w:w="1260" w:type="dxa"/>
            <w:shd w:val="clear" w:color="auto" w:fill="FFFFFF"/>
          </w:tcPr>
          <w:p>
            <w:pPr>
              <w:pStyle w:val="41"/>
              <w:ind w:right="-60"/>
              <w:bidi w:val="0"/>
            </w:pPr>
            <w:r>
              <w:rPr>
                <w:u w:val="none"/>
              </w:rPr>
              <w:t/>
            </w:r>
          </w:p>
          <w:p>
            <w:pPr>
              <w:pStyle w:val="41"/>
              <w:ind w:right="-60"/>
              <w:bidi w:val="0"/>
              <w:spacing w:before="60"/>
            </w:pPr>
            <w:r>
              <w:rPr>
                <w:sz w:val="14"/>
              </w:rPr>
              <w:t>Opp beplant/</w:t>
            </w:r>
          </w:p>
          <w:p>
            <w:pPr>
              <w:pStyle w:val="41"/>
              <w:ind w:right="-60"/>
              <w:bidi w:val="0"/>
            </w:pPr>
            <w:r>
              <w:rPr>
                <w:sz w:val="14"/>
              </w:rPr>
              <w:t>Area planted</w:t>
            </w:r>
          </w:p>
          <w:p>
            <w:pPr>
              <w:pStyle w:val="41"/>
              <w:ind w:right="-60"/>
              <w:bidi w:val="0"/>
            </w:pPr>
            <w:r>
              <w:rPr>
                <w:sz w:val="14"/>
              </w:rPr>
              <w:t>2006/07</w:t>
            </w:r>
          </w:p>
        </w:tc>
        <w:tc>
          <w:tcPr>
            <w:tcW w:w="1110" w:type="dxa"/>
            <w:shd w:val="clear" w:color="auto" w:fill="FFFFFF"/>
          </w:tcPr>
          <w:p>
            <w:pPr>
              <w:pStyle w:val="41"/>
              <w:ind w:right="-60"/>
              <w:bidi w:val="0"/>
            </w:pPr>
            <w:r>
              <w:rPr>
                <w:u w:val="none"/>
              </w:rPr>
              <w:t/>
            </w:r>
          </w:p>
          <w:p>
            <w:pPr>
              <w:pStyle w:val="41"/>
              <w:ind w:right="-60"/>
              <w:bidi w:val="0"/>
              <w:spacing w:before="60"/>
            </w:pPr>
            <w:r>
              <w:rPr>
                <w:sz w:val="14"/>
              </w:rPr>
              <w:t>Finale oes/</w:t>
            </w:r>
          </w:p>
          <w:p>
            <w:pPr>
              <w:pStyle w:val="41"/>
              <w:ind w:right="-60"/>
              <w:bidi w:val="0"/>
            </w:pPr>
            <w:r>
              <w:rPr>
                <w:sz w:val="14"/>
              </w:rPr>
              <w:t>Final crop</w:t>
            </w:r>
          </w:p>
          <w:p>
            <w:pPr>
              <w:pStyle w:val="41"/>
              <w:ind w:right="-60"/>
              <w:bidi w:val="0"/>
            </w:pPr>
            <w:r>
              <w:rPr>
                <w:sz w:val="14"/>
              </w:rPr>
              <w:t>2006/07</w:t>
            </w:r>
          </w:p>
        </w:tc>
        <w:tc>
          <w:tcPr>
            <w:tcW w:w="1110" w:type="dxa"/>
            <w:shd w:val="clear" w:color="auto" w:fill="FFFFFF"/>
          </w:tcPr>
          <w:p>
            <w:pPr>
              <w:pStyle w:val="41"/>
              <w:ind w:right="-60"/>
              <w:bidi w:val="0"/>
            </w:pPr>
            <w:r>
              <w:rPr>
                <w:u w:val="none"/>
              </w:rPr>
              <w:t/>
            </w:r>
          </w:p>
          <w:p>
            <w:pPr>
              <w:pStyle w:val="41"/>
              <w:ind w:right="-60"/>
              <w:bidi w:val="0"/>
              <w:spacing w:before="60"/>
            </w:pPr>
            <w:r>
              <w:rPr>
                <w:sz w:val="14"/>
              </w:rPr>
              <w:t>Verandering/</w:t>
            </w:r>
          </w:p>
          <w:p>
            <w:pPr>
              <w:pStyle w:val="41"/>
              <w:ind w:right="-60"/>
              <w:bidi w:val="0"/>
            </w:pPr>
            <w:r>
              <w:rPr>
                <w:sz w:val="14"/>
              </w:rPr>
              <w:t>Change</w:t>
            </w:r>
          </w:p>
        </w:tc>
      </w:tr>
      <w:tr>
        <w:tc>
          <w:tcPr>
            <w:tcW w:w="2370" w:type="dxa"/>
            <w:shd w:val="clear" w:color="auto" w:fill="FFFFFF"/>
          </w:tcPr>
          <w:p>
            <w:pPr>
              <w:pStyle w:val="41"/>
              <w:ind w:right="-60"/>
              <w:bidi w:val="0"/>
            </w:pPr>
            <w:r>
              <w:rPr>
                <w:u w:val="none"/>
              </w:rPr>
              <w:t/>
            </w:r>
          </w:p>
          <w:p>
            <w:pPr>
              <w:pStyle w:val="41"/>
              <w:jc w:val="both"/>
              <w:ind w:right="-60"/>
              <w:bidi w:val="0"/>
              <w:spacing w:before="15" w:after="15"/>
            </w:pPr>
            <w:r>
              <w:rPr>
                <w:u w:val="none"/>
              </w:rPr>
              <w:t/>
            </w:r>
          </w:p>
        </w:tc>
        <w:tc>
          <w:tcPr>
            <w:tcW w:w="1260" w:type="dxa"/>
            <w:shd w:val="clear" w:color="auto" w:fill="FFFFFF"/>
          </w:tcPr>
          <w:p>
            <w:pPr>
              <w:pStyle w:val="41"/>
              <w:ind w:right="-60"/>
              <w:bidi w:val="0"/>
              <w:spacing w:before="15" w:after="15"/>
            </w:pPr>
            <w:r>
              <w:rPr>
                <w:sz w:val="14"/>
              </w:rPr>
              <w:t>Ha</w:t>
            </w:r>
          </w:p>
        </w:tc>
        <w:tc>
          <w:tcPr>
            <w:tcW w:w="1220" w:type="dxa"/>
            <w:shd w:val="clear" w:color="auto" w:fill="FFFFFF"/>
          </w:tcPr>
          <w:p>
            <w:pPr>
              <w:pStyle w:val="41"/>
              <w:ind w:right="-60"/>
              <w:bidi w:val="0"/>
              <w:spacing w:before="15" w:after="15"/>
            </w:pPr>
            <w:r>
              <w:rPr>
                <w:u w:val="none"/>
              </w:rPr>
              <w:t/>
            </w:r>
          </w:p>
          <w:p>
            <w:pPr>
              <w:pStyle w:val="41"/>
              <w:ind w:right="-60"/>
              <w:bidi w:val="0"/>
              <w:spacing w:before="15" w:after="15"/>
            </w:pPr>
            <w:r>
              <w:rPr>
                <w:sz w:val="14"/>
              </w:rPr>
              <w:t>Tons</w:t>
            </w:r>
          </w:p>
        </w:tc>
        <w:tc>
          <w:tcPr>
            <w:tcW w:w="1220" w:type="dxa"/>
            <w:shd w:val="clear" w:color="auto" w:fill="FFFFFF"/>
          </w:tcPr>
          <w:p>
            <w:pPr>
              <w:pStyle w:val="41"/>
              <w:ind w:right="-60"/>
              <w:bidi w:val="0"/>
              <w:spacing w:before="15" w:after="15"/>
            </w:pPr>
            <w:r>
              <w:rPr>
                <w:u w:val="none"/>
              </w:rPr>
              <w:t/>
            </w:r>
          </w:p>
          <w:p>
            <w:pPr>
              <w:pStyle w:val="41"/>
              <w:ind w:right="-60"/>
              <w:bidi w:val="0"/>
              <w:spacing w:before="15" w:after="15"/>
            </w:pPr>
            <w:r>
              <w:rPr>
                <w:sz w:val="14"/>
              </w:rPr>
              <w:t>Tons</w:t>
            </w:r>
          </w:p>
        </w:tc>
        <w:tc>
          <w:tcPr>
            <w:tcW w:w="1260" w:type="dxa"/>
            <w:shd w:val="clear" w:color="auto" w:fill="FFFFFF"/>
          </w:tcPr>
          <w:p>
            <w:pPr>
              <w:pStyle w:val="41"/>
              <w:ind w:right="-60"/>
              <w:bidi w:val="0"/>
              <w:spacing w:before="15" w:after="15"/>
            </w:pPr>
            <w:r>
              <w:rPr>
                <w:u w:val="none"/>
              </w:rPr>
              <w:t/>
            </w:r>
          </w:p>
          <w:p>
            <w:pPr>
              <w:pStyle w:val="41"/>
              <w:ind w:right="-60"/>
              <w:bidi w:val="0"/>
              <w:spacing w:before="15" w:after="15"/>
            </w:pPr>
            <w:r>
              <w:rPr>
                <w:sz w:val="14"/>
              </w:rPr>
              <w:t>Ha</w:t>
            </w:r>
          </w:p>
        </w:tc>
        <w:tc>
          <w:tcPr>
            <w:tcW w:w="1110" w:type="dxa"/>
            <w:shd w:val="clear" w:color="auto" w:fill="FFFFFF"/>
          </w:tcPr>
          <w:p>
            <w:pPr>
              <w:pStyle w:val="41"/>
              <w:ind w:right="-60"/>
              <w:bidi w:val="0"/>
              <w:spacing w:before="15" w:after="15"/>
            </w:pPr>
            <w:r>
              <w:rPr>
                <w:u w:val="none"/>
              </w:rPr>
              <w:t/>
            </w:r>
          </w:p>
          <w:p>
            <w:pPr>
              <w:pStyle w:val="41"/>
              <w:ind w:right="-60"/>
              <w:bidi w:val="0"/>
              <w:spacing w:before="15" w:after="15"/>
            </w:pPr>
            <w:r>
              <w:rPr>
                <w:sz w:val="14"/>
              </w:rPr>
              <w:t>Tons</w:t>
            </w:r>
          </w:p>
        </w:tc>
        <w:tc>
          <w:tcPr>
            <w:tcW w:w="1110" w:type="dxa"/>
            <w:shd w:val="clear" w:color="auto" w:fill="FFFFFF"/>
          </w:tcPr>
          <w:p>
            <w:pPr>
              <w:pStyle w:val="41"/>
              <w:ind w:right="-60"/>
              <w:bidi w:val="0"/>
              <w:spacing w:before="15" w:after="15"/>
            </w:pPr>
            <w:r>
              <w:rPr>
                <w:u w:val="none"/>
              </w:rPr>
              <w:t/>
            </w:r>
          </w:p>
          <w:p>
            <w:pPr>
              <w:pStyle w:val="41"/>
              <w:ind w:right="-60"/>
              <w:bidi w:val="0"/>
              <w:spacing w:before="15" w:after="15"/>
            </w:pPr>
            <w:r>
              <w:rPr>
                <w:sz w:val="14"/>
              </w:rPr>
              <w:t>%</w:t>
            </w:r>
          </w:p>
        </w:tc>
      </w:tr>
      <w:tr>
        <w:tc>
          <w:tcPr>
            <w:tcW w:w="2370" w:type="dxa"/>
            <w:shd w:val="clear" w:color="auto" w:fill="FFFFFF"/>
          </w:tcPr>
          <w:p>
            <w:pPr>
              <w:pStyle w:val="41"/>
              <w:ind w:right="-60"/>
              <w:bidi w:val="0"/>
              <w:spacing w:before="15" w:after="15"/>
            </w:pPr>
            <w:r>
              <w:rPr>
                <w:u w:val="none"/>
              </w:rPr>
              <w:t/>
            </w:r>
          </w:p>
          <w:p>
            <w:pPr>
              <w:pStyle w:val="41"/>
              <w:jc w:val="both"/>
              <w:ind w:right="-60"/>
              <w:bidi w:val="0"/>
              <w:spacing w:before="15" w:after="15"/>
            </w:pPr>
            <w:r>
              <w:rPr>
                <w:u w:val="none"/>
              </w:rPr>
              <w:t/>
            </w:r>
          </w:p>
        </w:tc>
        <w:tc>
          <w:tcPr>
            <w:tcW w:w="1260" w:type="dxa"/>
            <w:shd w:val="clear" w:color="auto" w:fill="FFFFFF"/>
          </w:tcPr>
          <w:p>
            <w:pPr>
              <w:pStyle w:val="41"/>
              <w:ind w:right="-60"/>
              <w:bidi w:val="0"/>
              <w:spacing w:before="15" w:after="15"/>
            </w:pPr>
            <w:r>
              <w:rPr>
                <w:sz w:val="14"/>
              </w:rPr>
              <w:t>(A)</w:t>
            </w:r>
          </w:p>
        </w:tc>
        <w:tc>
          <w:tcPr>
            <w:tcW w:w="1220" w:type="dxa"/>
            <w:shd w:val="clear" w:color="auto" w:fill="FFFFFF"/>
          </w:tcPr>
          <w:p>
            <w:pPr>
              <w:pStyle w:val="41"/>
              <w:ind w:right="-60"/>
              <w:bidi w:val="0"/>
              <w:spacing w:before="15" w:after="15"/>
            </w:pPr>
            <w:r>
              <w:rPr>
                <w:u w:val="none"/>
              </w:rPr>
              <w:t/>
            </w:r>
          </w:p>
          <w:p>
            <w:pPr>
              <w:pStyle w:val="41"/>
              <w:ind w:right="-60"/>
              <w:bidi w:val="0"/>
              <w:spacing w:before="15" w:after="15"/>
            </w:pPr>
            <w:r>
              <w:rPr>
                <w:sz w:val="14"/>
              </w:rPr>
              <w:t>(B)</w:t>
            </w:r>
          </w:p>
        </w:tc>
        <w:tc>
          <w:tcPr>
            <w:tcW w:w="1220" w:type="dxa"/>
            <w:shd w:val="clear" w:color="auto" w:fill="FFFFFF"/>
          </w:tcPr>
          <w:p>
            <w:pPr>
              <w:pStyle w:val="41"/>
              <w:ind w:right="-60"/>
              <w:bidi w:val="0"/>
              <w:spacing w:before="15" w:after="15"/>
            </w:pPr>
            <w:r>
              <w:rPr>
                <w:u w:val="none"/>
              </w:rPr>
              <w:t/>
            </w:r>
          </w:p>
          <w:p>
            <w:pPr>
              <w:pStyle w:val="41"/>
              <w:ind w:right="-60"/>
              <w:bidi w:val="0"/>
              <w:spacing w:before="15" w:after="15"/>
            </w:pPr>
            <w:r>
              <w:rPr>
                <w:sz w:val="14"/>
              </w:rPr>
              <w:t>(C)</w:t>
            </w:r>
          </w:p>
        </w:tc>
        <w:tc>
          <w:tcPr>
            <w:tcW w:w="1260" w:type="dxa"/>
            <w:shd w:val="clear" w:color="auto" w:fill="FFFFFF"/>
          </w:tcPr>
          <w:p>
            <w:pPr>
              <w:pStyle w:val="41"/>
              <w:ind w:right="-60"/>
              <w:bidi w:val="0"/>
              <w:spacing w:before="15" w:after="15"/>
            </w:pPr>
            <w:r>
              <w:rPr>
                <w:u w:val="none"/>
              </w:rPr>
              <w:t/>
            </w:r>
          </w:p>
          <w:p>
            <w:pPr>
              <w:pStyle w:val="41"/>
              <w:ind w:right="-60"/>
              <w:bidi w:val="0"/>
              <w:spacing w:before="15" w:after="15"/>
            </w:pPr>
            <w:r>
              <w:rPr>
                <w:sz w:val="14"/>
              </w:rPr>
              <w:t>(D)</w:t>
            </w:r>
          </w:p>
        </w:tc>
        <w:tc>
          <w:tcPr>
            <w:tcW w:w="1110" w:type="dxa"/>
            <w:shd w:val="clear" w:color="auto" w:fill="FFFFFF"/>
          </w:tcPr>
          <w:p>
            <w:pPr>
              <w:pStyle w:val="41"/>
              <w:ind w:right="-60"/>
              <w:bidi w:val="0"/>
              <w:spacing w:before="15" w:after="15"/>
            </w:pPr>
            <w:r>
              <w:rPr>
                <w:u w:val="none"/>
              </w:rPr>
              <w:t/>
            </w:r>
          </w:p>
          <w:p>
            <w:pPr>
              <w:pStyle w:val="41"/>
              <w:ind w:right="-60"/>
              <w:bidi w:val="0"/>
              <w:spacing w:before="15" w:after="15"/>
            </w:pPr>
            <w:r>
              <w:rPr>
                <w:sz w:val="14"/>
              </w:rPr>
              <w:t>(E)</w:t>
            </w:r>
          </w:p>
        </w:tc>
        <w:tc>
          <w:tcPr>
            <w:tcW w:w="1110" w:type="dxa"/>
            <w:shd w:val="clear" w:color="auto" w:fill="FFFFFF"/>
          </w:tcPr>
          <w:p>
            <w:pPr>
              <w:pStyle w:val="41"/>
              <w:ind w:right="-60"/>
              <w:bidi w:val="0"/>
              <w:spacing w:before="15" w:after="15"/>
            </w:pPr>
            <w:r>
              <w:rPr>
                <w:u w:val="none"/>
              </w:rPr>
              <w:t/>
            </w:r>
          </w:p>
          <w:p>
            <w:pPr>
              <w:pStyle w:val="41"/>
              <w:ind w:right="-60"/>
              <w:bidi w:val="0"/>
              <w:spacing w:before="15" w:after="15"/>
            </w:pPr>
            <w:r>
              <w:rPr>
                <w:sz w:val="14"/>
              </w:rPr>
              <w:t>(B)÷(C)</w:t>
            </w:r>
          </w:p>
        </w:tc>
      </w:tr>
      <w:tr>
        <w:tc>
          <w:tcPr>
            <w:tcW w:w="9550" w:type="dxa"/>
            <w:gridSpan w:val="7"/>
            <w:shd w:val="clear" w:color="auto" w:fill="FFFFFF"/>
          </w:tcPr>
          <w:p>
            <w:pPr>
              <w:pStyle w:val="41"/>
              <w:ind w:right="-60"/>
              <w:bidi w:val="0"/>
              <w:spacing w:before="15" w:after="15"/>
            </w:pPr>
            <w:r>
              <w:rPr>
                <w:u w:val="none"/>
              </w:rPr>
              <w:t/>
            </w:r>
          </w:p>
          <w:p>
            <w:pPr>
              <w:ind w:right="135"/>
              <w:bidi w:val="0"/>
              <w:spacing w:before="45" w:after="45"/>
            </w:pPr>
            <w:r>
              <w:rPr>
                <w:rFonts w:ascii="Tahoma" w:hAnsi="Tahoma" w:cs="Tahoma" w:eastAsia="Tahoma"/>
                <w:sz w:val="14"/>
              </w:rPr>
              <w:t>Kommersieël/Commercial:</w:t>
            </w:r>
          </w:p>
        </w:tc>
      </w:tr>
      <w:tr>
        <w:tc>
          <w:tcPr>
            <w:tcW w:w="2370" w:type="dxa"/>
            <w:shd w:val="clear" w:color="auto" w:fill="FFFFFF"/>
          </w:tcPr>
          <w:p>
            <w:pPr>
              <w:ind w:right="135"/>
              <w:bidi w:val="0"/>
              <w:spacing w:before="45" w:after="45"/>
            </w:pPr>
            <w:r>
              <w:rPr>
                <w:rFonts w:ascii="Tahoma" w:hAnsi="Tahoma" w:cs="Tahoma" w:eastAsia="Tahoma"/>
              </w:rPr>
              <w:t/>
            </w:r>
          </w:p>
          <w:p>
            <w:pPr>
              <w:pStyle w:val="41"/>
              <w:jc w:val="both"/>
              <w:ind w:right="-105" w:firstLine="180"/>
              <w:bidi w:val="0"/>
              <w:spacing w:before="45" w:after="45"/>
            </w:pPr>
            <w:r>
              <w:rPr>
                <w:sz w:val="14"/>
              </w:rPr>
              <w:t>Witmielies/White maize</w:t>
            </w:r>
          </w:p>
        </w:tc>
        <w:tc>
          <w:tcPr>
            <w:tcW w:w="1260" w:type="dxa"/>
            <w:shd w:val="clear" w:color="auto" w:fill="FFFFFF"/>
          </w:tcPr>
          <w:p>
            <w:pPr>
              <w:pStyle w:val="41"/>
              <w:jc w:val="both"/>
              <w:ind w:right="-105" w:firstLine="180"/>
              <w:bidi w:val="0"/>
              <w:spacing w:before="45" w:after="45"/>
            </w:pPr>
            <w:r>
              <w:rPr>
                <w:u w:val="none"/>
              </w:rPr>
              <w:t/>
            </w:r>
          </w:p>
          <w:p>
            <w:pPr>
              <w:pStyle w:val="41"/>
              <w:jc w:val="right"/>
              <w:ind w:right="165"/>
              <w:bidi w:val="0"/>
              <w:spacing w:before="45" w:after="45"/>
            </w:pPr>
            <w:r>
              <w:rPr>
                <w:sz w:val="14"/>
              </w:rPr>
              <w:t>1  737  000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6 428 750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6 303 850</w:t>
            </w:r>
          </w:p>
        </w:tc>
        <w:tc>
          <w:tcPr>
            <w:tcW w:w="1260" w:type="dxa"/>
            <w:shd w:val="clear" w:color="auto" w:fill="FFFFFF"/>
          </w:tcPr>
          <w:p>
            <w:pPr>
              <w:pStyle w:val="41"/>
              <w:jc w:val="right"/>
              <w:ind w:right="165"/>
              <w:bidi w:val="0"/>
              <w:spacing w:before="45" w:after="45"/>
            </w:pPr>
            <w:r>
              <w:rPr>
                <w:u w:val="none"/>
              </w:rPr>
              <w:t/>
            </w:r>
          </w:p>
          <w:p>
            <w:pPr>
              <w:jc w:val="right"/>
              <w:ind w:right="135"/>
              <w:bidi w:val="0"/>
              <w:spacing w:before="45" w:after="45"/>
            </w:pPr>
            <w:r>
              <w:rPr>
                <w:rFonts w:ascii="Tahoma" w:hAnsi="Tahoma" w:cs="Tahoma" w:eastAsia="Tahoma"/>
                <w:sz w:val="14"/>
              </w:rPr>
              <w:t>1 624 800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4 315 000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+1,98</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1"/>
              <w:jc w:val="both"/>
              <w:ind w:right="-105" w:firstLine="180"/>
              <w:bidi w:val="0"/>
              <w:spacing w:before="45" w:after="45"/>
            </w:pPr>
            <w:r>
              <w:rPr>
                <w:sz w:val="14"/>
              </w:rPr>
              <w:t>Geelmielies/Yellow maize</w:t>
            </w:r>
          </w:p>
        </w:tc>
        <w:tc>
          <w:tcPr>
            <w:tcW w:w="1260" w:type="dxa"/>
            <w:shd w:val="clear" w:color="auto" w:fill="FFFFFF"/>
          </w:tcPr>
          <w:p>
            <w:pPr>
              <w:pStyle w:val="41"/>
              <w:jc w:val="both"/>
              <w:ind w:right="-105" w:firstLine="180"/>
              <w:bidi w:val="0"/>
              <w:spacing w:before="45" w:after="45"/>
            </w:pPr>
            <w:r>
              <w:rPr>
                <w:u w:val="none"/>
              </w:rPr>
              <w:t/>
            </w:r>
          </w:p>
          <w:p>
            <w:pPr>
              <w:pStyle w:val="41"/>
              <w:jc w:val="right"/>
              <w:ind w:right="165"/>
              <w:bidi w:val="0"/>
              <w:spacing w:before="45" w:after="45"/>
            </w:pPr>
            <w:r>
              <w:rPr>
                <w:sz w:val="14"/>
              </w:rPr>
              <w:t>1  062  000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4 336 200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4 277 000</w:t>
            </w:r>
          </w:p>
        </w:tc>
        <w:tc>
          <w:tcPr>
            <w:tcW w:w="1260" w:type="dxa"/>
            <w:shd w:val="clear" w:color="auto" w:fill="FFFFFF"/>
          </w:tcPr>
          <w:p>
            <w:pPr>
              <w:pStyle w:val="41"/>
              <w:jc w:val="right"/>
              <w:ind w:right="165"/>
              <w:bidi w:val="0"/>
              <w:spacing w:before="45" w:after="45"/>
            </w:pPr>
            <w:r>
              <w:rPr>
                <w:u w:val="none"/>
              </w:rPr>
              <w:t/>
            </w:r>
          </w:p>
          <w:p>
            <w:pPr>
              <w:jc w:val="right"/>
              <w:ind w:right="135"/>
              <w:bidi w:val="0"/>
              <w:spacing w:before="45" w:after="45"/>
            </w:pPr>
            <w:r>
              <w:rPr>
                <w:rFonts w:ascii="Tahoma" w:hAnsi="Tahoma" w:cs="Tahoma" w:eastAsia="Tahoma"/>
                <w:sz w:val="14"/>
              </w:rPr>
              <w:t>927 000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2 810 000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+1,38</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1"/>
              <w:jc w:val="left"/>
              <w:ind w:right="75"/>
              <w:bidi w:val="0"/>
              <w:spacing w:before="45" w:after="45"/>
            </w:pPr>
            <w:r>
              <w:rPr>
                <w:sz w:val="14"/>
              </w:rPr>
              <w:t>Mielies/Maize</w:t>
            </w:r>
          </w:p>
        </w:tc>
        <w:tc>
          <w:tcPr>
            <w:tcW w:w="1260" w:type="dxa"/>
            <w:shd w:val="clear" w:color="auto" w:fill="FFFFFF"/>
          </w:tcPr>
          <w:p>
            <w:pPr>
              <w:pStyle w:val="41"/>
              <w:jc w:val="left"/>
              <w:ind w:right="75"/>
              <w:bidi w:val="0"/>
              <w:spacing w:before="45" w:after="45"/>
            </w:pPr>
            <w:r>
              <w:rPr>
                <w:u w:val="none"/>
              </w:rPr>
              <w:t/>
            </w:r>
          </w:p>
          <w:p>
            <w:pPr>
              <w:pStyle w:val="41"/>
              <w:jc w:val="right"/>
              <w:ind w:right="165"/>
              <w:bidi w:val="0"/>
              <w:spacing w:before="45" w:after="45"/>
            </w:pPr>
            <w:r>
              <w:rPr>
                <w:sz w:val="14"/>
              </w:rPr>
              <w:t>2  799  000</w:t>
            </w:r>
          </w:p>
        </w:tc>
        <w:tc>
          <w:tcPr>
            <w:tcW w:w="1220" w:type="dxa"/>
            <w:shd w:val="clear" w:color="auto" w:fill="FFFFFF"/>
          </w:tcPr>
          <w:p>
            <w:pPr>
              <w:pStyle w:val="41"/>
              <w:jc w:val="right"/>
              <w:ind w:right="165"/>
              <w:bidi w:val="0"/>
              <w:spacing w:before="45" w:after="45"/>
            </w:pPr>
            <w:r>
              <w:rPr>
                <w:u w:val="none"/>
              </w:rPr>
              <w:t/>
            </w:r>
          </w:p>
          <w:p>
            <w:pPr>
              <w:pStyle w:val="41"/>
              <w:jc w:val="right"/>
              <w:ind w:left="-15" w:right="165" w:hanging="15"/>
              <w:bidi w:val="0"/>
              <w:spacing w:before="45" w:after="45"/>
            </w:pPr>
            <w:r>
              <w:rPr>
                <w:sz w:val="14"/>
              </w:rPr>
              <w:t>10 764 950</w:t>
            </w:r>
          </w:p>
        </w:tc>
        <w:tc>
          <w:tcPr>
            <w:tcW w:w="1220" w:type="dxa"/>
            <w:shd w:val="clear" w:color="auto" w:fill="FFFFFF"/>
          </w:tcPr>
          <w:p>
            <w:pPr>
              <w:pStyle w:val="41"/>
              <w:jc w:val="right"/>
              <w:ind w:left="-15" w:right="165" w:hanging="15"/>
              <w:bidi w:val="0"/>
              <w:spacing w:before="45" w:after="45"/>
            </w:pPr>
            <w:r>
              <w:rPr>
                <w:u w:val="none"/>
              </w:rPr>
              <w:t/>
            </w:r>
          </w:p>
          <w:p>
            <w:pPr>
              <w:pStyle w:val="41"/>
              <w:jc w:val="right"/>
              <w:ind w:right="165"/>
              <w:bidi w:val="0"/>
              <w:spacing w:before="45" w:after="45"/>
            </w:pPr>
            <w:r>
              <w:rPr>
                <w:sz w:val="14"/>
              </w:rPr>
              <w:t>10 580 850</w:t>
            </w:r>
          </w:p>
        </w:tc>
        <w:tc>
          <w:tcPr>
            <w:tcW w:w="1260" w:type="dxa"/>
            <w:shd w:val="clear" w:color="auto" w:fill="FFFFFF"/>
          </w:tcPr>
          <w:p>
            <w:pPr>
              <w:pStyle w:val="41"/>
              <w:jc w:val="right"/>
              <w:ind w:right="165"/>
              <w:bidi w:val="0"/>
              <w:spacing w:before="45" w:after="45"/>
            </w:pPr>
            <w:r>
              <w:rPr>
                <w:u w:val="none"/>
              </w:rPr>
              <w:t/>
            </w:r>
          </w:p>
          <w:p>
            <w:pPr>
              <w:jc w:val="right"/>
              <w:ind w:right="135"/>
              <w:bidi w:val="0"/>
              <w:spacing w:before="45" w:after="45"/>
            </w:pPr>
            <w:r>
              <w:rPr>
                <w:rFonts w:ascii="Tahoma" w:hAnsi="Tahoma" w:cs="Tahoma" w:eastAsia="Tahoma"/>
                <w:sz w:val="14"/>
              </w:rPr>
              <w:t>2 551 800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7 125 000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+1,74</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1"/>
              <w:jc w:val="both"/>
              <w:ind w:right="-60"/>
              <w:bidi w:val="0"/>
              <w:spacing w:before="45" w:after="45"/>
            </w:pPr>
            <w:r>
              <w:rPr>
                <w:sz w:val="14"/>
              </w:rPr>
              <w:t>Sonneblomsaad/Sunflower seed</w:t>
            </w:r>
          </w:p>
        </w:tc>
        <w:tc>
          <w:tcPr>
            <w:tcW w:w="1260" w:type="dxa"/>
            <w:shd w:val="clear" w:color="auto" w:fill="FFFFFF"/>
          </w:tcPr>
          <w:p>
            <w:pPr>
              <w:pStyle w:val="41"/>
              <w:jc w:val="both"/>
              <w:ind w:right="-60"/>
              <w:bidi w:val="0"/>
              <w:spacing w:before="45" w:after="45"/>
            </w:pPr>
            <w:r>
              <w:rPr>
                <w:u w:val="none"/>
              </w:rPr>
              <w:t/>
            </w:r>
          </w:p>
          <w:p>
            <w:pPr>
              <w:pStyle w:val="41"/>
              <w:jc w:val="right"/>
              <w:ind w:right="165"/>
              <w:bidi w:val="0"/>
              <w:spacing w:before="45" w:after="45"/>
            </w:pPr>
            <w:r>
              <w:rPr>
                <w:sz w:val="14"/>
              </w:rPr>
              <w:t>549  300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769 080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686 920</w:t>
            </w:r>
          </w:p>
        </w:tc>
        <w:tc>
          <w:tcPr>
            <w:tcW w:w="1260" w:type="dxa"/>
            <w:shd w:val="clear" w:color="auto" w:fill="FFFFFF"/>
          </w:tcPr>
          <w:p>
            <w:pPr>
              <w:pStyle w:val="41"/>
              <w:jc w:val="right"/>
              <w:ind w:right="165"/>
              <w:bidi w:val="0"/>
              <w:spacing w:before="45" w:after="45"/>
            </w:pPr>
            <w:r>
              <w:rPr>
                <w:u w:val="none"/>
              </w:rPr>
              <w:t/>
            </w:r>
          </w:p>
          <w:p>
            <w:pPr>
              <w:jc w:val="right"/>
              <w:ind w:right="135"/>
              <w:bidi w:val="0"/>
              <w:spacing w:before="45" w:after="45"/>
            </w:pPr>
            <w:r>
              <w:rPr>
                <w:rFonts w:ascii="Tahoma" w:hAnsi="Tahoma" w:cs="Tahoma" w:eastAsia="Tahoma"/>
                <w:sz w:val="14"/>
              </w:rPr>
              <w:t>316 350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300 000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+11,96</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1"/>
              <w:jc w:val="both"/>
              <w:ind w:right="-60"/>
              <w:bidi w:val="0"/>
              <w:spacing w:before="45" w:after="45"/>
            </w:pPr>
            <w:r>
              <w:rPr>
                <w:sz w:val="14"/>
              </w:rPr>
              <w:t>Sojabone/Soya-beans</w:t>
            </w:r>
          </w:p>
        </w:tc>
        <w:tc>
          <w:tcPr>
            <w:tcW w:w="1260" w:type="dxa"/>
            <w:shd w:val="clear" w:color="auto" w:fill="FFFFFF"/>
          </w:tcPr>
          <w:p>
            <w:pPr>
              <w:pStyle w:val="41"/>
              <w:jc w:val="both"/>
              <w:ind w:right="-60"/>
              <w:bidi w:val="0"/>
              <w:spacing w:before="45" w:after="45"/>
            </w:pPr>
            <w:r>
              <w:rPr>
                <w:u w:val="none"/>
              </w:rPr>
              <w:t/>
            </w:r>
          </w:p>
          <w:p>
            <w:pPr>
              <w:pStyle w:val="41"/>
              <w:jc w:val="right"/>
              <w:ind w:right="165"/>
              <w:bidi w:val="0"/>
              <w:spacing w:before="45" w:after="45"/>
            </w:pPr>
            <w:r>
              <w:rPr>
                <w:sz w:val="14"/>
              </w:rPr>
              <w:t>171  800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297 250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280 970</w:t>
            </w:r>
          </w:p>
        </w:tc>
        <w:tc>
          <w:tcPr>
            <w:tcW w:w="1260" w:type="dxa"/>
            <w:shd w:val="clear" w:color="auto" w:fill="FFFFFF"/>
          </w:tcPr>
          <w:p>
            <w:pPr>
              <w:pStyle w:val="41"/>
              <w:jc w:val="right"/>
              <w:ind w:right="165"/>
              <w:bidi w:val="0"/>
              <w:spacing w:before="45" w:after="45"/>
            </w:pPr>
            <w:r>
              <w:rPr>
                <w:u w:val="none"/>
              </w:rPr>
              <w:t/>
            </w:r>
          </w:p>
          <w:p>
            <w:pPr>
              <w:jc w:val="right"/>
              <w:ind w:right="135"/>
              <w:bidi w:val="0"/>
              <w:spacing w:before="45" w:after="45"/>
            </w:pPr>
            <w:r>
              <w:rPr>
                <w:rFonts w:ascii="Tahoma" w:hAnsi="Tahoma" w:cs="Tahoma" w:eastAsia="Tahoma"/>
                <w:sz w:val="14"/>
              </w:rPr>
              <w:t>183 000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205 000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+5,79</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1"/>
              <w:jc w:val="both"/>
              <w:ind w:right="-60"/>
              <w:bidi w:val="0"/>
              <w:spacing w:before="45" w:after="45"/>
            </w:pPr>
            <w:r>
              <w:rPr>
                <w:sz w:val="14"/>
              </w:rPr>
              <w:t>Grondbone/Groundnuts</w:t>
            </w:r>
          </w:p>
        </w:tc>
        <w:tc>
          <w:tcPr>
            <w:tcW w:w="1260" w:type="dxa"/>
            <w:shd w:val="clear" w:color="auto" w:fill="FFFFFF"/>
          </w:tcPr>
          <w:p>
            <w:pPr>
              <w:pStyle w:val="41"/>
              <w:jc w:val="both"/>
              <w:ind w:right="-60"/>
              <w:bidi w:val="0"/>
              <w:spacing w:before="45" w:after="45"/>
            </w:pPr>
            <w:r>
              <w:rPr>
                <w:u w:val="none"/>
              </w:rPr>
              <w:t/>
            </w:r>
          </w:p>
          <w:p>
            <w:pPr>
              <w:pStyle w:val="41"/>
              <w:jc w:val="right"/>
              <w:ind w:right="165"/>
              <w:bidi w:val="0"/>
              <w:spacing w:before="45" w:after="45"/>
            </w:pPr>
            <w:r>
              <w:rPr>
                <w:sz w:val="14"/>
              </w:rPr>
              <w:t>54  200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80 650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78 560</w:t>
            </w:r>
          </w:p>
        </w:tc>
        <w:tc>
          <w:tcPr>
            <w:tcW w:w="1260" w:type="dxa"/>
            <w:shd w:val="clear" w:color="auto" w:fill="FFFFFF"/>
          </w:tcPr>
          <w:p>
            <w:pPr>
              <w:pStyle w:val="41"/>
              <w:jc w:val="right"/>
              <w:ind w:right="165"/>
              <w:bidi w:val="0"/>
              <w:spacing w:before="45" w:after="45"/>
            </w:pPr>
            <w:r>
              <w:rPr>
                <w:u w:val="none"/>
              </w:rPr>
              <w:t/>
            </w:r>
          </w:p>
          <w:p>
            <w:pPr>
              <w:jc w:val="right"/>
              <w:ind w:right="135"/>
              <w:bidi w:val="0"/>
              <w:spacing w:before="45" w:after="45"/>
            </w:pPr>
            <w:r>
              <w:rPr>
                <w:rFonts w:ascii="Tahoma" w:hAnsi="Tahoma" w:cs="Tahoma" w:eastAsia="Tahoma"/>
                <w:sz w:val="14"/>
              </w:rPr>
              <w:t>40 770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58 000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+2,66</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1"/>
              <w:jc w:val="both"/>
              <w:ind w:right="-60"/>
              <w:bidi w:val="0"/>
              <w:spacing w:before="45" w:after="45"/>
            </w:pPr>
            <w:r>
              <w:rPr>
                <w:sz w:val="14"/>
              </w:rPr>
              <w:t>Sorghum</w:t>
            </w:r>
          </w:p>
        </w:tc>
        <w:tc>
          <w:tcPr>
            <w:tcW w:w="1260" w:type="dxa"/>
            <w:shd w:val="clear" w:color="auto" w:fill="FFFFFF"/>
          </w:tcPr>
          <w:p>
            <w:pPr>
              <w:pStyle w:val="41"/>
              <w:jc w:val="both"/>
              <w:ind w:right="-60"/>
              <w:bidi w:val="0"/>
              <w:spacing w:before="45" w:after="45"/>
            </w:pPr>
            <w:r>
              <w:rPr>
                <w:u w:val="none"/>
              </w:rPr>
              <w:t/>
            </w:r>
          </w:p>
          <w:p>
            <w:pPr>
              <w:pStyle w:val="41"/>
              <w:jc w:val="right"/>
              <w:ind w:right="165"/>
              <w:bidi w:val="0"/>
              <w:spacing w:before="45" w:after="45"/>
            </w:pPr>
            <w:r>
              <w:rPr>
                <w:sz w:val="14"/>
              </w:rPr>
              <w:t>89  800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255 995</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235 360</w:t>
            </w:r>
          </w:p>
        </w:tc>
        <w:tc>
          <w:tcPr>
            <w:tcW w:w="1260" w:type="dxa"/>
            <w:shd w:val="clear" w:color="auto" w:fill="FFFFFF"/>
          </w:tcPr>
          <w:p>
            <w:pPr>
              <w:pStyle w:val="41"/>
              <w:jc w:val="right"/>
              <w:ind w:right="165"/>
              <w:bidi w:val="0"/>
              <w:spacing w:before="45" w:after="45"/>
            </w:pPr>
            <w:r>
              <w:rPr>
                <w:u w:val="none"/>
              </w:rPr>
              <w:t/>
            </w:r>
          </w:p>
          <w:p>
            <w:pPr>
              <w:jc w:val="right"/>
              <w:ind w:right="135"/>
              <w:bidi w:val="0"/>
              <w:spacing w:before="45" w:after="45"/>
            </w:pPr>
            <w:r>
              <w:rPr>
                <w:rFonts w:ascii="Tahoma" w:hAnsi="Tahoma" w:cs="Tahoma" w:eastAsia="Tahoma"/>
                <w:sz w:val="14"/>
              </w:rPr>
              <w:t>69 000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176 000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+8,77</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1"/>
              <w:jc w:val="both"/>
              <w:ind w:right="-60"/>
              <w:bidi w:val="0"/>
              <w:spacing w:before="45" w:after="45"/>
            </w:pPr>
            <w:r>
              <w:rPr>
                <w:sz w:val="14"/>
              </w:rPr>
              <w:t>Droëbone/Dry beans</w:t>
            </w:r>
          </w:p>
        </w:tc>
        <w:tc>
          <w:tcPr>
            <w:tcW w:w="1260" w:type="dxa"/>
            <w:shd w:val="clear" w:color="auto" w:fill="FFFFFF"/>
          </w:tcPr>
          <w:p>
            <w:pPr>
              <w:pStyle w:val="41"/>
              <w:jc w:val="both"/>
              <w:ind w:right="-60"/>
              <w:bidi w:val="0"/>
              <w:spacing w:before="45" w:after="45"/>
            </w:pPr>
            <w:r>
              <w:rPr>
                <w:u w:val="none"/>
              </w:rPr>
              <w:t/>
            </w:r>
          </w:p>
          <w:p>
            <w:pPr>
              <w:pStyle w:val="41"/>
              <w:jc w:val="right"/>
              <w:ind w:right="165"/>
              <w:bidi w:val="0"/>
              <w:spacing w:before="45" w:after="45"/>
            </w:pPr>
            <w:r>
              <w:rPr>
                <w:sz w:val="14"/>
              </w:rPr>
              <w:t>43  800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58 975</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57 065</w:t>
            </w:r>
          </w:p>
        </w:tc>
        <w:tc>
          <w:tcPr>
            <w:tcW w:w="1260" w:type="dxa"/>
            <w:shd w:val="clear" w:color="auto" w:fill="FFFFFF"/>
          </w:tcPr>
          <w:p>
            <w:pPr>
              <w:pStyle w:val="41"/>
              <w:jc w:val="right"/>
              <w:ind w:right="165"/>
              <w:bidi w:val="0"/>
              <w:spacing w:before="45" w:after="45"/>
            </w:pPr>
            <w:r>
              <w:rPr>
                <w:u w:val="none"/>
              </w:rPr>
              <w:t/>
            </w:r>
          </w:p>
          <w:p>
            <w:pPr>
              <w:jc w:val="right"/>
              <w:ind w:right="135"/>
              <w:bidi w:val="0"/>
              <w:spacing w:before="45" w:after="45"/>
            </w:pPr>
            <w:r>
              <w:rPr>
                <w:rFonts w:ascii="Tahoma" w:hAnsi="Tahoma" w:cs="Tahoma" w:eastAsia="Tahoma"/>
                <w:sz w:val="14"/>
              </w:rPr>
              <w:t>50 725</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39 545</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+3,35</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1"/>
              <w:jc w:val="both"/>
              <w:ind w:right="-60"/>
              <w:bidi w:val="0"/>
              <w:spacing w:before="45" w:after="45"/>
            </w:pPr>
            <w:r>
              <w:rPr>
                <w:sz w:val="14"/>
              </w:rPr>
              <w:t>TOTAAL/TOTAL</w:t>
            </w:r>
          </w:p>
        </w:tc>
        <w:tc>
          <w:tcPr>
            <w:tcW w:w="1260" w:type="dxa"/>
            <w:shd w:val="clear" w:color="auto" w:fill="FFFFFF"/>
          </w:tcPr>
          <w:p>
            <w:pPr>
              <w:pStyle w:val="41"/>
              <w:jc w:val="both"/>
              <w:ind w:right="-60"/>
              <w:bidi w:val="0"/>
              <w:spacing w:before="45" w:after="45"/>
            </w:pPr>
            <w:r>
              <w:rPr>
                <w:u w:val="none"/>
              </w:rPr>
              <w:t/>
            </w:r>
          </w:p>
          <w:p>
            <w:pPr>
              <w:pStyle w:val="41"/>
              <w:jc w:val="right"/>
              <w:ind w:right="165"/>
              <w:bidi w:val="0"/>
              <w:spacing w:before="45" w:after="45"/>
            </w:pPr>
            <w:r>
              <w:rPr>
                <w:sz w:val="14"/>
              </w:rPr>
              <w:t>3  707  900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12 226 900</w:t>
            </w:r>
          </w:p>
        </w:tc>
        <w:tc>
          <w:tcPr>
            <w:tcW w:w="1220" w:type="dxa"/>
            <w:shd w:val="clear" w:color="auto" w:fill="FFFFFF"/>
          </w:tcPr>
          <w:p>
            <w:pPr>
              <w:pStyle w:val="41"/>
              <w:jc w:val="right"/>
              <w:ind w:right="165"/>
              <w:bidi w:val="0"/>
              <w:spacing w:before="45" w:after="45"/>
            </w:pPr>
            <w:r>
              <w:rPr>
                <w:u w:val="none"/>
              </w:rPr>
              <w:t/>
            </w:r>
          </w:p>
          <w:p>
            <w:pPr>
              <w:pStyle w:val="41"/>
              <w:jc w:val="right"/>
              <w:ind w:right="165"/>
              <w:bidi w:val="0"/>
              <w:spacing w:before="45" w:after="45"/>
            </w:pPr>
            <w:r>
              <w:rPr>
                <w:sz w:val="14"/>
              </w:rPr>
              <w:t>11 919 725</w:t>
            </w:r>
          </w:p>
        </w:tc>
        <w:tc>
          <w:tcPr>
            <w:tcW w:w="1260" w:type="dxa"/>
            <w:shd w:val="clear" w:color="auto" w:fill="FFFFFF"/>
          </w:tcPr>
          <w:p>
            <w:pPr>
              <w:pStyle w:val="41"/>
              <w:jc w:val="right"/>
              <w:ind w:right="165"/>
              <w:bidi w:val="0"/>
              <w:spacing w:before="45" w:after="45"/>
            </w:pPr>
            <w:r>
              <w:rPr>
                <w:u w:val="none"/>
              </w:rPr>
              <w:t/>
            </w:r>
          </w:p>
          <w:p>
            <w:pPr>
              <w:jc w:val="right"/>
              <w:ind w:right="135"/>
              <w:bidi w:val="0"/>
              <w:spacing w:before="45" w:after="45"/>
            </w:pPr>
            <w:r>
              <w:rPr>
                <w:rFonts w:ascii="Tahoma" w:hAnsi="Tahoma" w:cs="Tahoma" w:eastAsia="Tahoma"/>
                <w:sz w:val="14"/>
              </w:rPr>
              <w:t>3  211 645</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7  903 545</w:t>
            </w:r>
          </w:p>
        </w:tc>
        <w:tc>
          <w:tcPr>
            <w:tcW w:w="1110" w:type="dxa"/>
            <w:shd w:val="clear" w:color="auto" w:fill="FFFFFF"/>
          </w:tcPr>
          <w:p>
            <w:pPr>
              <w:jc w:val="right"/>
              <w:ind w:right="135"/>
              <w:bidi w:val="0"/>
              <w:spacing w:before="45" w:after="45"/>
            </w:pPr>
            <w:r>
              <w:rPr>
                <w:rFonts w:ascii="Tahoma" w:hAnsi="Tahoma" w:cs="Tahoma" w:eastAsia="Tahoma"/>
              </w:rPr>
              <w:t/>
            </w:r>
          </w:p>
          <w:p>
            <w:pPr>
              <w:pStyle w:val="41"/>
              <w:jc w:val="right"/>
              <w:ind w:right="135"/>
              <w:bidi w:val="0"/>
              <w:spacing w:before="45" w:after="45"/>
            </w:pPr>
            <w:r>
              <w:rPr>
                <w:sz w:val="14"/>
              </w:rPr>
              <w:t>+2,58</w:t>
            </w:r>
          </w:p>
        </w:tc>
      </w:tr>
      <w:tr>
        <w:tc>
          <w:tcPr>
            <w:tcW w:w="2370" w:type="dxa"/>
            <w:shd w:val="clear" w:color="auto" w:fill="FFFFFF"/>
          </w:tcPr>
          <w:p>
            <w:pPr>
              <w:pStyle w:val="41"/>
              <w:jc w:val="right"/>
              <w:ind w:right="135"/>
              <w:bidi w:val="0"/>
              <w:spacing w:before="45" w:after="45"/>
            </w:pPr>
            <w:r>
              <w:rPr>
                <w:u w:val="none"/>
              </w:rPr>
              <w:t/>
            </w:r>
          </w:p>
          <w:p>
            <w:pPr>
              <w:pStyle w:val="41"/>
              <w:jc w:val="both"/>
              <w:ind w:right="-60"/>
              <w:bidi w:val="0"/>
              <w:spacing w:before="45" w:after="45"/>
            </w:pPr>
            <w:r>
              <w:rPr>
                <w:u w:val="none"/>
              </w:rPr>
              <w:t/>
            </w:r>
          </w:p>
        </w:tc>
        <w:tc>
          <w:tcPr>
            <w:tcW w:w="1260" w:type="dxa"/>
            <w:shd w:val="clear" w:color="auto" w:fill="FFFFFF"/>
          </w:tcPr>
          <w:p>
            <w:pPr>
              <w:pStyle w:val="41"/>
              <w:jc w:val="right"/>
              <w:ind w:right="165"/>
              <w:bidi w:val="0"/>
              <w:spacing w:before="45" w:after="45"/>
            </w:pPr>
            <w:r>
              <w:rPr>
                <w:u w:val="none"/>
              </w:rPr>
              <w:t/>
            </w:r>
          </w:p>
        </w:tc>
        <w:tc>
          <w:tcPr>
            <w:tcW w:w="1220" w:type="dxa"/>
            <w:shd w:val="clear" w:color="auto" w:fill="FFFFFF"/>
          </w:tcPr>
          <w:p>
            <w:pPr>
              <w:pStyle w:val="41"/>
              <w:jc w:val="right"/>
              <w:ind w:right="165"/>
              <w:bidi w:val="0"/>
              <w:spacing w:before="45" w:after="45"/>
            </w:pPr>
            <w:r>
              <w:rPr>
                <w:u w:val="none"/>
              </w:rPr>
              <w:t/>
            </w:r>
          </w:p>
        </w:tc>
        <w:tc>
          <w:tcPr>
            <w:tcW w:w="1220" w:type="dxa"/>
            <w:shd w:val="clear" w:color="auto" w:fill="FFFFFF"/>
          </w:tcPr>
          <w:p>
            <w:pPr>
              <w:pStyle w:val="41"/>
              <w:jc w:val="right"/>
              <w:ind w:right="165"/>
              <w:bidi w:val="0"/>
              <w:spacing w:before="45" w:after="45"/>
            </w:pPr>
            <w:r>
              <w:rPr>
                <w:u w:val="none"/>
              </w:rPr>
              <w:t/>
            </w:r>
          </w:p>
        </w:tc>
        <w:tc>
          <w:tcPr>
            <w:tcW w:w="1260" w:type="dxa"/>
            <w:shd w:val="clear" w:color="auto" w:fill="FFFFFF"/>
          </w:tcPr>
          <w:p>
            <w:pPr>
              <w:jc w:val="right"/>
              <w:ind w:right="135"/>
              <w:bidi w:val="0"/>
              <w:spacing w:before="45" w:after="45"/>
            </w:pPr>
            <w:r>
              <w:rPr>
                <w:rFonts w:ascii="Tahoma" w:hAnsi="Tahoma" w:cs="Tahoma" w:eastAsia="Tahoma"/>
              </w:rPr>
              <w:t/>
            </w:r>
          </w:p>
        </w:tc>
        <w:tc>
          <w:tcPr>
            <w:tcW w:w="1110" w:type="dxa"/>
            <w:shd w:val="clear" w:color="auto" w:fill="FFFFFF"/>
          </w:tcPr>
          <w:p>
            <w:pPr>
              <w:jc w:val="right"/>
              <w:ind w:right="135"/>
              <w:bidi w:val="0"/>
              <w:spacing w:before="45" w:after="45"/>
            </w:pPr>
            <w:r>
              <w:rPr>
                <w:rFonts w:ascii="Tahoma" w:hAnsi="Tahoma" w:cs="Tahoma" w:eastAsia="Tahoma"/>
              </w:rPr>
              <w:t/>
            </w:r>
          </w:p>
        </w:tc>
        <w:tc>
          <w:tcPr>
            <w:tcW w:w="1110" w:type="dxa"/>
            <w:shd w:val="clear" w:color="auto" w:fill="FFFFFF"/>
          </w:tcPr>
          <w:p>
            <w:pPr>
              <w:jc w:val="right"/>
              <w:ind w:right="135"/>
              <w:bidi w:val="0"/>
              <w:spacing w:before="45" w:after="45"/>
            </w:pPr>
            <w:r>
              <w:rPr>
                <w:rFonts w:ascii="Tahoma" w:hAnsi="Tahoma" w:cs="Tahoma" w:eastAsia="Tahoma"/>
              </w:rPr>
              <w:t/>
            </w:r>
          </w:p>
        </w:tc>
      </w:tr>
      <w:tr>
        <w:tc>
          <w:tcPr>
            <w:tcW w:w="2370" w:type="dxa"/>
            <w:shd w:val="clear" w:color="auto" w:fill="FFFFFF"/>
          </w:tcPr>
          <w:p>
            <w:pPr>
              <w:jc w:val="both"/>
              <w:ind w:left="90" w:right="90"/>
              <w:bidi w:val="0"/>
              <w:spacing w:after="120"/>
            </w:pPr>
            <w:r>
              <w:rPr>
                <w:rFonts w:ascii="Tahoma" w:hAnsi="Tahoma" w:cs="Tahoma" w:eastAsia="Tahoma"/>
              </w:rPr>
              <w:t/>
            </w:r>
          </w:p>
        </w:tc>
        <w:tc>
          <w:tcPr>
            <w:tcW w:w="2480" w:type="dxa"/>
            <w:gridSpan w:val="2"/>
            <w:shd w:val="clear" w:color="auto" w:fill="FFFFFF"/>
          </w:tcPr>
          <w:p>
            <w:pPr>
              <w:pStyle w:val="41"/>
              <w:ind w:right="-60"/>
              <w:bidi w:val="0"/>
            </w:pPr>
            <w:r>
              <w:rPr>
                <w:u w:val="none"/>
              </w:rPr>
              <w:t/>
            </w:r>
          </w:p>
        </w:tc>
        <w:tc>
          <w:tcPr>
            <w:tcW w:w="1220" w:type="dxa"/>
            <w:shd w:val="clear" w:color="auto" w:fill="FFFFFF"/>
          </w:tcPr>
          <w:p>
            <w:pPr>
              <w:pStyle w:val="41"/>
              <w:ind w:right="-60"/>
              <w:bidi w:val="0"/>
            </w:pPr>
            <w:r>
              <w:rPr>
                <w:u w:val="none"/>
              </w:rPr>
              <w:t/>
            </w:r>
          </w:p>
        </w:tc>
        <w:tc>
          <w:tcPr>
            <w:tcW w:w="1260" w:type="dxa"/>
            <w:shd w:val="clear" w:color="auto" w:fill="FFFFFF"/>
          </w:tcPr>
          <w:p>
            <w:pPr>
              <w:pStyle w:val="41"/>
              <w:ind w:right="-60"/>
              <w:bidi w:val="0"/>
            </w:pPr>
            <w:r>
              <w:rPr>
                <w:u w:val="none"/>
              </w:rPr>
              <w:t/>
            </w:r>
          </w:p>
        </w:tc>
        <w:tc>
          <w:tcPr>
            <w:tcW w:w="1110" w:type="dxa"/>
            <w:shd w:val="clear" w:color="auto" w:fill="FFFFFF"/>
          </w:tcPr>
          <w:p>
            <w:pPr>
              <w:pStyle w:val="41"/>
              <w:ind w:right="-60"/>
              <w:bidi w:val="0"/>
            </w:pPr>
            <w:r>
              <w:rPr>
                <w:u w:val="none"/>
              </w:rPr>
              <w:t/>
            </w:r>
          </w:p>
        </w:tc>
        <w:tc>
          <w:tcPr>
            <w:tcW w:w="1110" w:type="dxa"/>
            <w:shd w:val="clear" w:color="auto" w:fill="FFFFFF"/>
          </w:tcPr>
          <w:p>
            <w:pPr>
              <w:pStyle w:val="41"/>
              <w:jc w:val="left"/>
              <w:ind w:right="-60"/>
              <w:bidi w:val="0"/>
              <w:spacing w:before="60"/>
            </w:pPr>
            <w:r>
              <w:rPr>
                <w:u w:val="none"/>
              </w:rPr>
              <w:t/>
            </w:r>
          </w:p>
        </w:tc>
      </w:tr>
      <w:tr>
        <w:tc>
          <w:tcPr>
            <w:tcW w:w="2370" w:type="dxa"/>
            <w:shd w:val="clear" w:color="auto" w:fill="FFFFFF"/>
          </w:tcPr>
          <w:p>
            <w:pPr>
              <w:pStyle w:val="41"/>
              <w:jc w:val="both"/>
              <w:ind w:right="-60"/>
              <w:bidi w:val="0"/>
              <w:spacing w:before="15" w:after="15"/>
            </w:pPr>
            <w:r>
              <w:rPr>
                <w:u w:val="none"/>
              </w:rPr>
              <w:t/>
            </w:r>
          </w:p>
        </w:tc>
        <w:tc>
          <w:tcPr>
            <w:tcW w:w="1260" w:type="dxa"/>
            <w:shd w:val="clear" w:color="auto" w:fill="FFFFFF"/>
          </w:tcPr>
          <w:p>
            <w:pPr>
              <w:pStyle w:val="41"/>
              <w:ind w:right="-60"/>
              <w:bidi w:val="0"/>
              <w:spacing w:before="15" w:after="15"/>
            </w:pPr>
            <w:r>
              <w:rPr>
                <w:u w:val="none"/>
              </w:rPr>
              <w:t/>
            </w:r>
          </w:p>
        </w:tc>
        <w:tc>
          <w:tcPr>
            <w:tcW w:w="1220" w:type="dxa"/>
            <w:shd w:val="clear" w:color="auto" w:fill="FFFFFF"/>
          </w:tcPr>
          <w:p>
            <w:pPr>
              <w:pStyle w:val="41"/>
              <w:ind w:right="-60"/>
              <w:bidi w:val="0"/>
              <w:spacing w:before="15" w:after="15"/>
            </w:pPr>
            <w:r>
              <w:rPr>
                <w:u w:val="none"/>
              </w:rPr>
              <w:t/>
            </w:r>
          </w:p>
        </w:tc>
        <w:tc>
          <w:tcPr>
            <w:tcW w:w="1220" w:type="dxa"/>
            <w:shd w:val="clear" w:color="auto" w:fill="FFFFFF"/>
          </w:tcPr>
          <w:p>
            <w:pPr>
              <w:pStyle w:val="41"/>
              <w:ind w:right="-60"/>
              <w:bidi w:val="0"/>
              <w:spacing w:before="15" w:after="15"/>
            </w:pPr>
            <w:r>
              <w:rPr>
                <w:u w:val="none"/>
              </w:rPr>
              <w:t/>
            </w:r>
          </w:p>
        </w:tc>
        <w:tc>
          <w:tcPr>
            <w:tcW w:w="1260" w:type="dxa"/>
            <w:shd w:val="clear" w:color="auto" w:fill="FFFFFF"/>
          </w:tcPr>
          <w:p>
            <w:pPr>
              <w:pStyle w:val="41"/>
              <w:ind w:right="-60"/>
              <w:bidi w:val="0"/>
              <w:spacing w:before="15" w:after="15"/>
            </w:pPr>
            <w:r>
              <w:rPr>
                <w:u w:val="none"/>
              </w:rPr>
              <w:t/>
            </w:r>
          </w:p>
        </w:tc>
        <w:tc>
          <w:tcPr>
            <w:tcW w:w="1110" w:type="dxa"/>
            <w:shd w:val="clear" w:color="auto" w:fill="FFFFFF"/>
          </w:tcPr>
          <w:p>
            <w:pPr>
              <w:pStyle w:val="41"/>
              <w:ind w:right="-60"/>
              <w:bidi w:val="0"/>
              <w:spacing w:before="15" w:after="15"/>
            </w:pPr>
            <w:r>
              <w:rPr>
                <w:u w:val="none"/>
              </w:rPr>
              <w:t/>
            </w:r>
          </w:p>
        </w:tc>
        <w:tc>
          <w:tcPr>
            <w:tcW w:w="1110" w:type="dxa"/>
            <w:shd w:val="clear" w:color="auto" w:fill="FFFFFF"/>
          </w:tcPr>
          <w:p>
            <w:pPr>
              <w:pStyle w:val="41"/>
              <w:jc w:val="left"/>
              <w:ind w:right="-60"/>
              <w:bidi w:val="0"/>
              <w:spacing w:before="15" w:after="15"/>
            </w:pPr>
            <w:r>
              <w:rPr>
                <w:u w:val="none"/>
              </w:rPr>
              <w:t/>
            </w:r>
          </w:p>
        </w:tc>
      </w:tr>
      <w:tr>
        <w:tc>
          <w:tcPr>
            <w:tcW w:w="2370" w:type="dxa"/>
            <w:shd w:val="clear" w:color="auto" w:fill="FFFFFF"/>
          </w:tcPr>
          <w:p>
            <w:pPr>
              <w:pStyle w:val="41"/>
              <w:jc w:val="both"/>
              <w:ind w:right="-60"/>
              <w:bidi w:val="0"/>
              <w:spacing w:before="15" w:after="15"/>
            </w:pPr>
            <w:r>
              <w:rPr>
                <w:u w:val="none"/>
              </w:rPr>
              <w:t/>
            </w:r>
          </w:p>
        </w:tc>
        <w:tc>
          <w:tcPr>
            <w:tcW w:w="1260" w:type="dxa"/>
            <w:shd w:val="clear" w:color="auto" w:fill="FFFFFF"/>
          </w:tcPr>
          <w:p>
            <w:pPr>
              <w:pStyle w:val="41"/>
              <w:ind w:right="-60"/>
              <w:bidi w:val="0"/>
              <w:spacing w:before="15" w:after="15"/>
            </w:pPr>
            <w:r>
              <w:rPr>
                <w:u w:val="none"/>
              </w:rPr>
              <w:t/>
            </w:r>
          </w:p>
        </w:tc>
        <w:tc>
          <w:tcPr>
            <w:tcW w:w="1220" w:type="dxa"/>
            <w:shd w:val="clear" w:color="auto" w:fill="FFFFFF"/>
          </w:tcPr>
          <w:p>
            <w:pPr>
              <w:pStyle w:val="41"/>
              <w:ind w:right="-60"/>
              <w:bidi w:val="0"/>
              <w:spacing w:before="15" w:after="15"/>
            </w:pPr>
            <w:r>
              <w:rPr>
                <w:u w:val="none"/>
              </w:rPr>
              <w:t/>
            </w:r>
          </w:p>
        </w:tc>
        <w:tc>
          <w:tcPr>
            <w:tcW w:w="1220" w:type="dxa"/>
            <w:shd w:val="clear" w:color="auto" w:fill="FFFFFF"/>
          </w:tcPr>
          <w:p>
            <w:pPr>
              <w:pStyle w:val="41"/>
              <w:ind w:right="-60"/>
              <w:bidi w:val="0"/>
              <w:spacing w:before="15" w:after="15"/>
            </w:pPr>
            <w:r>
              <w:rPr>
                <w:u w:val="none"/>
              </w:rPr>
              <w:t/>
            </w:r>
          </w:p>
        </w:tc>
        <w:tc>
          <w:tcPr>
            <w:tcW w:w="1260" w:type="dxa"/>
            <w:shd w:val="clear" w:color="auto" w:fill="FFFFFF"/>
          </w:tcPr>
          <w:p>
            <w:pPr>
              <w:pStyle w:val="41"/>
              <w:ind w:right="-60"/>
              <w:bidi w:val="0"/>
              <w:spacing w:before="15" w:after="15"/>
            </w:pPr>
            <w:r>
              <w:rPr>
                <w:u w:val="none"/>
              </w:rPr>
              <w:t/>
            </w:r>
          </w:p>
        </w:tc>
        <w:tc>
          <w:tcPr>
            <w:tcW w:w="1110" w:type="dxa"/>
            <w:shd w:val="clear" w:color="auto" w:fill="FFFFFF"/>
          </w:tcPr>
          <w:p>
            <w:pPr>
              <w:pStyle w:val="41"/>
              <w:ind w:right="-60"/>
              <w:bidi w:val="0"/>
              <w:spacing w:before="15" w:after="15"/>
            </w:pPr>
            <w:r>
              <w:rPr>
                <w:u w:val="none"/>
              </w:rPr>
              <w:t/>
            </w:r>
          </w:p>
        </w:tc>
        <w:tc>
          <w:tcPr>
            <w:tcW w:w="1110" w:type="dxa"/>
            <w:shd w:val="clear" w:color="auto" w:fill="FFFFFF"/>
          </w:tcPr>
          <w:p>
            <w:pPr>
              <w:pStyle w:val="41"/>
              <w:jc w:val="left"/>
              <w:ind w:right="-60"/>
              <w:bidi w:val="0"/>
              <w:spacing w:before="15" w:after="15"/>
            </w:pPr>
            <w:r>
              <w:rPr>
                <w:u w:val="none"/>
              </w:rPr>
              <w:t/>
            </w:r>
          </w:p>
        </w:tc>
      </w:tr>
      <w:tr>
        <w:tc>
          <w:tcPr>
            <w:tcW w:w="8440" w:type="dxa"/>
            <w:gridSpan w:val="6"/>
            <w:shd w:val="clear" w:color="auto" w:fill="FFFFFF"/>
          </w:tcPr>
          <w:p>
            <w:pPr>
              <w:bidi w:val="0"/>
            </w:pPr>
            <w:r>
              <w:rPr>
                <w:rFonts w:ascii="Tahoma" w:hAnsi="Tahoma" w:cs="Tahoma" w:eastAsia="Tahoma"/>
              </w:rPr>
              <w:t/>
            </w:r>
          </w:p>
        </w:tc>
        <w:tc>
          <w:tcPr>
            <w:tcW w:w="1110" w:type="dxa"/>
            <w:shd w:val="clear" w:color="auto" w:fill="FFFFFF"/>
          </w:tcPr>
          <w:p>
            <w:pPr>
              <w:ind w:right="135"/>
              <w:bidi w:val="0"/>
              <w:spacing w:before="45" w:after="45"/>
            </w:pPr>
            <w:r>
              <w:rPr>
                <w:rFonts w:ascii="Tahoma" w:hAnsi="Tahoma" w:cs="Tahoma" w:eastAsia="Tahoma"/>
              </w:rPr>
              <w:t/>
            </w:r>
          </w:p>
        </w:tc>
      </w:tr>
      <w:tr>
        <w:tc>
          <w:tcPr>
            <w:tcW w:w="2370" w:type="dxa"/>
            <w:shd w:val="clear" w:color="auto" w:fill="FFFFFF"/>
          </w:tcPr>
          <w:p>
            <w:pPr>
              <w:pStyle w:val="41"/>
              <w:jc w:val="both"/>
              <w:ind w:right="-105" w:firstLine="180"/>
              <w:bidi w:val="0"/>
              <w:spacing w:before="45" w:after="45"/>
            </w:pPr>
            <w:r>
              <w:rPr>
                <w:u w:val="none"/>
              </w:rPr>
              <w:t/>
            </w:r>
          </w:p>
        </w:tc>
        <w:tc>
          <w:tcPr>
            <w:tcW w:w="1260" w:type="dxa"/>
            <w:shd w:val="clear" w:color="auto" w:fill="FFFFFF"/>
          </w:tcPr>
          <w:p>
            <w:pPr>
              <w:pStyle w:val="41"/>
              <w:jc w:val="right"/>
              <w:ind w:right="165"/>
              <w:bidi w:val="0"/>
              <w:spacing w:before="45" w:after="45"/>
            </w:pPr>
            <w:r>
              <w:rPr>
                <w:u w:val="none"/>
              </w:rPr>
              <w:t/>
            </w:r>
          </w:p>
        </w:tc>
        <w:tc>
          <w:tcPr>
            <w:tcW w:w="1220" w:type="dxa"/>
            <w:shd w:val="clear" w:color="auto" w:fill="FFFFFF"/>
          </w:tcPr>
          <w:p>
            <w:pPr>
              <w:pStyle w:val="41"/>
              <w:jc w:val="right"/>
              <w:ind w:right="165"/>
              <w:bidi w:val="0"/>
              <w:spacing w:before="45" w:after="45"/>
            </w:pPr>
            <w:r>
              <w:rPr>
                <w:u w:val="none"/>
              </w:rPr>
              <w:t/>
            </w:r>
          </w:p>
        </w:tc>
        <w:tc>
          <w:tcPr>
            <w:tcW w:w="1220" w:type="dxa"/>
            <w:shd w:val="clear" w:color="auto" w:fill="FFFFFF"/>
          </w:tcPr>
          <w:p>
            <w:pPr>
              <w:jc w:val="right"/>
              <w:ind w:right="60"/>
              <w:bidi w:val="0"/>
              <w:spacing w:before="15" w:after="15"/>
            </w:pPr>
            <w:r>
              <w:rPr>
                <w:rFonts w:ascii="Tahoma" w:hAnsi="Tahoma" w:cs="Tahoma" w:eastAsia="Tahoma"/>
              </w:rPr>
              <w:t/>
            </w:r>
          </w:p>
        </w:tc>
        <w:tc>
          <w:tcPr>
            <w:tcW w:w="1260" w:type="dxa"/>
            <w:shd w:val="clear" w:color="auto" w:fill="FFFFFF"/>
          </w:tcPr>
          <w:p>
            <w:pPr>
              <w:jc w:val="right"/>
              <w:ind w:right="60"/>
              <w:bidi w:val="0"/>
              <w:spacing w:before="15" w:after="15"/>
            </w:pPr>
            <w:r>
              <w:rPr>
                <w:rFonts w:ascii="Tahoma" w:hAnsi="Tahoma" w:cs="Tahoma" w:eastAsia="Tahoma"/>
              </w:rPr>
              <w:t/>
            </w:r>
          </w:p>
        </w:tc>
        <w:tc>
          <w:tcPr>
            <w:tcW w:w="1110" w:type="dxa"/>
            <w:shd w:val="clear" w:color="auto" w:fill="FFFFFF"/>
          </w:tcPr>
          <w:p>
            <w:pPr>
              <w:jc w:val="right"/>
              <w:ind w:right="135"/>
              <w:bidi w:val="0"/>
              <w:spacing w:before="45" w:after="45"/>
            </w:pPr>
            <w:r>
              <w:rPr>
                <w:rFonts w:ascii="Tahoma" w:hAnsi="Tahoma" w:cs="Tahoma" w:eastAsia="Tahoma"/>
              </w:rPr>
              <w:t/>
            </w:r>
          </w:p>
        </w:tc>
        <w:tc>
          <w:tcPr>
            <w:tcW w:w="1110" w:type="dxa"/>
            <w:shd w:val="clear" w:color="auto" w:fill="FFFFFF"/>
          </w:tcPr>
          <w:p>
            <w:pPr>
              <w:ind w:right="135"/>
              <w:bidi w:val="0"/>
              <w:spacing w:before="45" w:after="45"/>
            </w:pPr>
            <w:r>
              <w:rPr>
                <w:rFonts w:ascii="Tahoma" w:hAnsi="Tahoma" w:cs="Tahoma" w:eastAsia="Tahoma"/>
              </w:rPr>
              <w:t/>
            </w:r>
          </w:p>
        </w:tc>
      </w:tr>
      <w:tr>
        <w:tc>
          <w:tcPr>
            <w:tcW w:w="2370" w:type="dxa"/>
            <w:shd w:val="clear" w:color="auto" w:fill="FFFFFF"/>
          </w:tcPr>
          <w:p>
            <w:pPr>
              <w:pStyle w:val="16"/>
              <w:jc w:val="both"/>
              <w:ind w:right="-105" w:firstLine="180"/>
              <w:bidi w:val="0"/>
              <w:spacing w:before="45" w:after="45"/>
            </w:pPr>
            <w:r>
              <w:rPr>
                <w:rFonts w:ascii="Tahoma" w:hAnsi="Tahoma" w:cs="Tahoma" w:eastAsia="Tahoma"/>
              </w:rPr>
              <w:t/>
            </w:r>
          </w:p>
        </w:tc>
        <w:tc>
          <w:tcPr>
            <w:tcW w:w="1260" w:type="dxa"/>
            <w:shd w:val="clear" w:color="auto" w:fill="FFFFFF"/>
          </w:tcPr>
          <w:p>
            <w:pPr>
              <w:pStyle w:val="16"/>
              <w:jc w:val="right"/>
              <w:ind w:right="165"/>
              <w:bidi w:val="0"/>
              <w:spacing w:before="45" w:after="45"/>
            </w:pPr>
            <w:r>
              <w:rPr>
                <w:rFonts w:ascii="Tahoma" w:hAnsi="Tahoma" w:cs="Tahoma" w:eastAsia="Tahoma"/>
              </w:rPr>
              <w:t/>
            </w:r>
          </w:p>
        </w:tc>
        <w:tc>
          <w:tcPr>
            <w:tcW w:w="1220" w:type="dxa"/>
            <w:shd w:val="clear" w:color="auto" w:fill="FFFFFF"/>
          </w:tcPr>
          <w:p>
            <w:pPr>
              <w:pStyle w:val="16"/>
              <w:jc w:val="right"/>
              <w:ind w:right="165"/>
              <w:bidi w:val="0"/>
              <w:spacing w:before="45" w:after="45"/>
            </w:pPr>
            <w:r>
              <w:rPr>
                <w:rFonts w:ascii="Tahoma" w:hAnsi="Tahoma" w:cs="Tahoma" w:eastAsia="Tahoma"/>
              </w:rPr>
              <w:t/>
            </w:r>
          </w:p>
        </w:tc>
        <w:tc>
          <w:tcPr>
            <w:tcW w:w="1220" w:type="dxa"/>
            <w:shd w:val="clear" w:color="auto" w:fill="FFFFFF"/>
          </w:tcPr>
          <w:p>
            <w:pPr>
              <w:jc w:val="right"/>
              <w:ind w:right="60"/>
              <w:bidi w:val="0"/>
              <w:spacing w:before="15" w:after="15"/>
            </w:pPr>
            <w:r>
              <w:rPr>
                <w:rFonts w:ascii="Tahoma" w:hAnsi="Tahoma" w:cs="Tahoma" w:eastAsia="Tahoma"/>
              </w:rPr>
              <w:t/>
            </w:r>
          </w:p>
        </w:tc>
        <w:tc>
          <w:tcPr>
            <w:tcW w:w="1260" w:type="dxa"/>
            <w:shd w:val="clear" w:color="auto" w:fill="FFFFFF"/>
          </w:tcPr>
          <w:p>
            <w:pPr>
              <w:jc w:val="right"/>
              <w:ind w:right="60"/>
              <w:bidi w:val="0"/>
              <w:spacing w:before="15" w:after="15"/>
            </w:pPr>
            <w:r>
              <w:rPr>
                <w:rFonts w:ascii="Tahoma" w:hAnsi="Tahoma" w:cs="Tahoma" w:eastAsia="Tahoma"/>
              </w:rPr>
              <w:t/>
            </w:r>
          </w:p>
        </w:tc>
        <w:tc>
          <w:tcPr>
            <w:tcW w:w="1110" w:type="dxa"/>
            <w:shd w:val="clear" w:color="auto" w:fill="FFFFFF"/>
          </w:tcPr>
          <w:p>
            <w:pPr>
              <w:jc w:val="right"/>
              <w:ind w:right="135"/>
              <w:bidi w:val="0"/>
              <w:spacing w:before="45" w:after="45"/>
            </w:pPr>
            <w:r>
              <w:rPr>
                <w:rFonts w:ascii="Tahoma" w:hAnsi="Tahoma" w:cs="Tahoma" w:eastAsia="Tahoma"/>
              </w:rPr>
              <w:t/>
            </w:r>
          </w:p>
        </w:tc>
        <w:tc>
          <w:tcPr>
            <w:tcW w:w="1110" w:type="dxa"/>
            <w:shd w:val="clear" w:color="auto" w:fill="FFFFFF"/>
          </w:tcPr>
          <w:p>
            <w:pPr>
              <w:ind w:right="135"/>
              <w:bidi w:val="0"/>
              <w:spacing w:before="45" w:after="45"/>
            </w:pPr>
            <w:r>
              <w:rPr>
                <w:rFonts w:ascii="Tahoma" w:hAnsi="Tahoma" w:cs="Tahoma" w:eastAsia="Tahoma"/>
              </w:rPr>
              <w:t/>
            </w:r>
          </w:p>
        </w:tc>
      </w:tr>
      <w:tr>
        <w:tc>
          <w:tcPr>
            <w:tcW w:w="2370" w:type="dxa"/>
            <w:shd w:val="clear" w:color="auto" w:fill="FFFFFF"/>
          </w:tcPr>
          <w:p>
            <w:pPr>
              <w:pStyle w:val="41"/>
              <w:jc w:val="left"/>
              <w:ind w:right="75"/>
              <w:bidi w:val="0"/>
              <w:spacing w:before="45" w:after="45"/>
            </w:pPr>
            <w:r>
              <w:rPr>
                <w:u w:val="none"/>
              </w:rPr>
              <w:t/>
            </w:r>
          </w:p>
        </w:tc>
        <w:tc>
          <w:tcPr>
            <w:tcW w:w="1260" w:type="dxa"/>
            <w:shd w:val="clear" w:color="auto" w:fill="FFFFFF"/>
          </w:tcPr>
          <w:p>
            <w:pPr>
              <w:pStyle w:val="41"/>
              <w:jc w:val="right"/>
              <w:ind w:right="165"/>
              <w:bidi w:val="0"/>
              <w:spacing w:before="45" w:after="45"/>
            </w:pPr>
            <w:r>
              <w:rPr>
                <w:u w:val="none"/>
              </w:rPr>
              <w:t/>
            </w:r>
          </w:p>
        </w:tc>
        <w:tc>
          <w:tcPr>
            <w:tcW w:w="1220" w:type="dxa"/>
            <w:shd w:val="clear" w:color="auto" w:fill="FFFFFF"/>
          </w:tcPr>
          <w:p>
            <w:pPr>
              <w:pStyle w:val="41"/>
              <w:jc w:val="right"/>
              <w:ind w:right="165"/>
              <w:bidi w:val="0"/>
              <w:spacing w:before="45" w:after="45"/>
            </w:pPr>
            <w:r>
              <w:rPr>
                <w:u w:val="none"/>
              </w:rPr>
              <w:t/>
            </w:r>
          </w:p>
        </w:tc>
        <w:tc>
          <w:tcPr>
            <w:tcW w:w="1220" w:type="dxa"/>
            <w:shd w:val="clear" w:color="auto" w:fill="FFFFFF"/>
          </w:tcPr>
          <w:p>
            <w:pPr>
              <w:jc w:val="right"/>
              <w:ind w:right="60"/>
              <w:bidi w:val="0"/>
              <w:spacing w:before="15" w:after="15"/>
            </w:pPr>
            <w:r>
              <w:rPr>
                <w:rFonts w:ascii="Tahoma" w:hAnsi="Tahoma" w:cs="Tahoma" w:eastAsia="Tahoma"/>
              </w:rPr>
              <w:t/>
            </w:r>
          </w:p>
        </w:tc>
        <w:tc>
          <w:tcPr>
            <w:tcW w:w="1260" w:type="dxa"/>
            <w:shd w:val="clear" w:color="auto" w:fill="FFFFFF"/>
          </w:tcPr>
          <w:p>
            <w:pPr>
              <w:jc w:val="right"/>
              <w:ind w:right="60"/>
              <w:bidi w:val="0"/>
              <w:spacing w:before="15" w:after="15"/>
            </w:pPr>
            <w:r>
              <w:rPr>
                <w:rFonts w:ascii="Tahoma" w:hAnsi="Tahoma" w:cs="Tahoma" w:eastAsia="Tahoma"/>
              </w:rPr>
              <w:t/>
            </w:r>
          </w:p>
        </w:tc>
        <w:tc>
          <w:tcPr>
            <w:tcW w:w="1110" w:type="dxa"/>
            <w:shd w:val="clear" w:color="auto" w:fill="FFFFFF"/>
          </w:tcPr>
          <w:p>
            <w:pPr>
              <w:pStyle w:val="41"/>
              <w:jc w:val="right"/>
              <w:ind w:right="135"/>
              <w:bidi w:val="0"/>
              <w:spacing w:before="45" w:after="45"/>
            </w:pPr>
            <w:r>
              <w:rPr>
                <w:u w:val="none"/>
              </w:rPr>
              <w:t/>
            </w:r>
          </w:p>
        </w:tc>
        <w:tc>
          <w:tcPr>
            <w:tcW w:w="1110" w:type="dxa"/>
            <w:shd w:val="clear" w:color="auto" w:fill="FFFFFF"/>
          </w:tcPr>
          <w:p>
            <w:pPr>
              <w:ind w:right="135"/>
              <w:bidi w:val="0"/>
              <w:spacing w:before="45" w:after="45"/>
            </w:pPr>
            <w:r>
              <w:rPr>
                <w:rFonts w:ascii="Tahoma" w:hAnsi="Tahoma" w:cs="Tahoma" w:eastAsia="Tahoma"/>
              </w:rPr>
              <w:t/>
            </w:r>
          </w:p>
        </w:tc>
      </w:tr>
    </w:tbl>
    <w:p>
      <w:pPr>
        <w:pStyle w:val="41"/>
        <w:ind w:right="-60"/>
        <w:bidi w:val="0"/>
      </w:pPr>
      <w:r>
        <w:rPr>
          <w:sz w:val="16"/>
        </w:rPr>
        <w:t/>
      </w:r>
    </w:p>
    <w:p>
      <w:pPr>
        <w:pStyle w:val="41"/>
        <w:ind w:right="-60"/>
        <w:bidi w:val="0"/>
      </w:pPr>
      <w:r>
        <w:t/>
      </w:r>
    </w:p>
    <w:p>
      <w:pPr>
        <w:bidi w:val="0"/>
      </w:pPr>
      <w:r>
        <w:rPr>
          <w:rFonts w:ascii="Tahoma" w:hAnsi="Tahoma" w:cs="Tahoma" w:eastAsia="Tahoma"/>
        </w:rPr>
        <w:t/>
      </w:r>
    </w:p>
    <w:p>
      <w:pPr>
        <w:bidi w:val="0"/>
      </w:pPr>
      <w:r>
        <w:t/>
      </w:r>
    </w:p>
    <w:p>
      <w:pPr>
        <w:pStyle w:val="41"/>
        <w:jc w:val="left"/>
        <w:ind w:right="-60"/>
        <w:bidi w:val="0"/>
        <w:spacing w:after="60"/>
      </w:pPr>
      <w:r>
        <w:rPr>
          <w:sz w:val="14"/>
        </w:rPr>
        <w:t>WIT- EN GEELMIELIES – OPPERVLAK- EN TWEEDE PRODUKSIESKATTING: 2007/08-SEISOEN</w:t>
      </w:r>
    </w:p>
    <w:p>
      <w:pPr>
        <w:pStyle w:val="41"/>
        <w:jc w:val="left"/>
        <w:ind w:right="-60"/>
        <w:bidi w:val="0"/>
      </w:pPr>
      <w:r>
        <w:rPr>
          <w:sz w:val="14"/>
        </w:rPr>
        <w:t>WHITE AND YELLOW MAIZE – AREA PLANTED AND SECOND PRODUCTION FORECAST: 2007/08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2006/07</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2006/07</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2 030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20 300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33 750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605 750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3 770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48 770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42 700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498 000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540 700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1 170 000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2 518 500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1 584 000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4 102 500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1 925 000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 930 000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2 855 000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67 600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67 600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82 600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41 000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213 200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203 700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416 900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169 200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359 200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1 313 200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1 187 500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2 500 700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720 000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1 490 000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41 000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127 100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174 300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35 200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131 200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151 200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519 200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254 000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1 830 000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493 000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2 323 000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1 152 000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1 392 000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1 737 000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78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2 799 000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 6 428 750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4 336 200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10 764 950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1 624 800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927 000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2 551 800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4 315 000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2 810 000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7 125 000</w:t>
            </w:r>
          </w:p>
        </w:tc>
      </w:tr>
    </w:tbl>
    <w:p>
      <w:pPr>
        <w:bidi w:val="0"/>
      </w:pPr>
      <w:r>
        <w:rPr>
          <w:rFonts w:ascii="Tahoma" w:hAnsi="Tahoma" w:cs="Tahoma" w:eastAsia="Tahoma"/>
        </w:rPr>
        <w:t/>
      </w:r>
    </w:p>
    <w:p>
      <w:pPr>
        <w:pStyle w:val="41"/>
        <w:ind w:right="-60"/>
        <w:bidi w:val="0"/>
      </w:pPr>
      <w:r>
        <w:t/>
      </w:r>
    </w:p>
    <w:p>
      <w:pPr>
        <w:pStyle w:val="41"/>
        <w:ind w:right="-60"/>
        <w:bidi w:val="0"/>
      </w:pPr>
      <w:r>
        <w:t/>
      </w:r>
    </w:p>
    <w:p>
      <w:pPr>
        <w:bidi w:val="0"/>
      </w:pPr>
      <w:r>
        <w:rPr>
          <w:rFonts w:ascii="Tahoma" w:hAnsi="Tahoma" w:cs="Tahoma" w:eastAsia="Tahoma"/>
        </w:rPr>
        <w:t/>
      </w:r>
    </w:p>
    <w:p>
      <w:pPr>
        <w:bidi w:val="0"/>
      </w:pPr>
      <w:r>
        <w:t/>
      </w:r>
    </w:p>
    <w:p>
      <w:pPr>
        <w:pStyle w:val="41"/>
        <w:jc w:val="left"/>
        <w:ind w:right="-60"/>
        <w:bidi w:val="0"/>
        <w:spacing w:after="60"/>
      </w:pPr>
      <w:r>
        <w:rPr>
          <w:sz w:val="14"/>
        </w:rPr>
        <w:t>SONNEBLOMSAAD – OPPERVLAK- EN TWEEDE PRODUKSIESKATTING: 2007/08-SEISOEN</w:t>
      </w:r>
    </w:p>
    <w:p>
      <w:pPr>
        <w:pStyle w:val="41"/>
        <w:jc w:val="left"/>
        <w:ind w:right="-60"/>
        <w:bidi w:val="0"/>
      </w:pPr>
      <w:r>
        <w:rPr>
          <w:sz w:val="14"/>
        </w:rPr>
        <w:t>SUNFLOWER SEED – AREA PLANTED AND SECOND PRODUCTION FORECAST: 2007/08 SEASON</w:t>
      </w:r>
    </w:p>
    <w:p>
      <w:pPr>
        <w:pStyle w:val="41"/>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r>
      <w:tr>
        <w:tc>
          <w:tcPr>
            <w:tcW w:w="2360" w:type="dxa"/>
            <w:shd w:val="clear" w:color="auto" w:fill="FFFFFF"/>
          </w:tcPr>
          <w:p>
            <w:pPr>
              <w:pStyle w:val="41"/>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1 320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549 300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769 080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316 350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bl>
    <w:p>
      <w:pPr>
        <w:bidi w:val="0"/>
      </w:pPr>
      <w:r>
        <w:rPr>
          <w:rFonts w:ascii="Tahoma" w:hAnsi="Tahoma" w:cs="Tahoma" w:eastAsia="Tahoma"/>
        </w:rPr>
        <w:t/>
      </w:r>
    </w:p>
    <w:p>
      <w:pPr>
        <w:pStyle w:val="41"/>
        <w:jc w:val="left"/>
        <w:ind w:right="-60"/>
        <w:bidi w:val="0"/>
        <w:spacing w:after="60"/>
      </w:pPr>
      <w:r>
        <w:rPr>
          <w:sz w:val="14"/>
        </w:rPr>
        <w:t>SOJABONE – OPPERVLAK- EN TWEEDE PRODUKSIESKATTING: 2007/08-SEISOEN</w:t>
      </w:r>
    </w:p>
    <w:p>
      <w:pPr>
        <w:pStyle w:val="41"/>
        <w:jc w:val="left"/>
        <w:ind w:right="-60"/>
        <w:bidi w:val="0"/>
      </w:pPr>
      <w:r>
        <w:rPr>
          <w:sz w:val="14"/>
        </w:rPr>
        <w:t>SOYA-BEANS – AREA PLANTED AND SECOND PRODUCTION FORECAST: 2007/08 SEASON</w:t>
      </w:r>
    </w:p>
    <w:p>
      <w:pPr>
        <w:pStyle w:val="41"/>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r>
      <w:tr>
        <w:tc>
          <w:tcPr>
            <w:tcW w:w="2360" w:type="dxa"/>
            <w:shd w:val="clear" w:color="auto" w:fill="FFFFFF"/>
          </w:tcPr>
          <w:p>
            <w:pPr>
              <w:pStyle w:val="41"/>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80 000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42 875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45 100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76 500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4 150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171 800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297 250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205 000</w:t>
            </w:r>
          </w:p>
        </w:tc>
      </w:tr>
    </w:tbl>
    <w:p>
      <w:pPr>
        <w:bidi w:val="0"/>
      </w:pPr>
      <w:r>
        <w:rPr>
          <w:rFonts w:ascii="Tahoma" w:hAnsi="Tahoma" w:cs="Tahoma" w:eastAsia="Tahoma"/>
        </w:rPr>
        <w:t/>
      </w:r>
    </w:p>
    <w:p>
      <w:pPr>
        <w:pStyle w:val="41"/>
        <w:ind w:right="-60"/>
        <w:bidi w:val="0"/>
      </w:pPr>
      <w:r>
        <w:t/>
      </w:r>
    </w:p>
    <w:p>
      <w:pPr>
        <w:pStyle w:val="41"/>
        <w:ind w:right="-60"/>
        <w:bidi w:val="0"/>
      </w:pPr>
      <w:r>
        <w:t/>
      </w:r>
    </w:p>
    <w:p>
      <w:pPr>
        <w:pStyle w:val="41"/>
        <w:ind w:right="-60"/>
        <w:bidi w:val="0"/>
      </w:pPr>
      <w:r>
        <w:t/>
      </w:r>
    </w:p>
    <w:p>
      <w:pPr>
        <w:pStyle w:val="41"/>
        <w:jc w:val="left"/>
        <w:ind w:right="-60"/>
        <w:bidi w:val="0"/>
        <w:spacing w:after="60"/>
      </w:pPr>
      <w:r>
        <w:rPr>
          <w:sz w:val="14"/>
        </w:rPr>
        <w:t>GRONDBONE – OPPERVLAK- EN TWEEDE PRODUKSIESKATTING: 2007/08-SEISOEN</w:t>
      </w:r>
    </w:p>
    <w:p>
      <w:pPr>
        <w:pStyle w:val="41"/>
        <w:jc w:val="left"/>
        <w:ind w:right="-60"/>
        <w:bidi w:val="0"/>
      </w:pPr>
      <w:r>
        <w:rPr>
          <w:sz w:val="14"/>
        </w:rPr>
        <w:t>GROUNDNUTS – AREA PLANTED AND SECOND PRODUCTION FORECAST: 2007/08 SEASON</w:t>
      </w:r>
    </w:p>
    <w:p>
      <w:pPr>
        <w:pStyle w:val="41"/>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r>
      <w:tr>
        <w:tc>
          <w:tcPr>
            <w:tcW w:w="2360" w:type="dxa"/>
            <w:shd w:val="clear" w:color="auto" w:fill="FFFFFF"/>
          </w:tcPr>
          <w:p>
            <w:pPr>
              <w:pStyle w:val="41"/>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7 200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21 750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33 150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18 800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20 750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clear" w:pos="0"/>
                <w:tab w:val="left" w:pos="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2 600</w:t>
            </w:r>
          </w:p>
        </w:tc>
        <w:tc>
          <w:tcPr>
            <w:tcW w:w="1290" w:type="dxa"/>
            <w:shd w:val="clear" w:color="auto" w:fill="FFFFFF"/>
          </w:tcPr>
          <w:p>
            <w:pPr>
              <w:jc w:val="right"/>
              <w:ind w:right="105"/>
              <w:bidi w:val="0"/>
              <w:spacing w:before="75" w:after="75" w:lineRule="auto" w:line="216"/>
              <w:tabs>
                <w:tab w:val="clear" w:pos="-2880"/>
                <w:tab w:val="clear" w:pos="-1410"/>
                <w:tab w:val="clear" w:pos="-690"/>
                <w:tab w:val="clear" w:pos="0"/>
                <w:tab w:val="left" w:pos="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5 460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2 420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clear" w:pos="0"/>
                <w:tab w:val="left" w:pos="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05"/>
              <w:bidi w:val="0"/>
              <w:spacing w:before="75" w:after="75" w:lineRule="auto" w:line="216"/>
              <w:tabs>
                <w:tab w:val="clear" w:pos="-2880"/>
                <w:tab w:val="clear" w:pos="-1410"/>
                <w:tab w:val="clear" w:pos="-690"/>
                <w:tab w:val="clear" w:pos="0"/>
                <w:tab w:val="left" w:pos="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clear" w:pos="0"/>
                <w:tab w:val="left" w:pos="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clear" w:pos="0"/>
                <w:tab w:val="left" w:pos="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20 900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clear" w:pos="0"/>
                <w:tab w:val="left" w:pos="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54 200</w:t>
            </w:r>
          </w:p>
        </w:tc>
        <w:tc>
          <w:tcPr>
            <w:tcW w:w="1290" w:type="dxa"/>
            <w:shd w:val="clear" w:color="auto" w:fill="FFFFFF"/>
          </w:tcPr>
          <w:p>
            <w:pPr>
              <w:jc w:val="right"/>
              <w:ind w:right="105"/>
              <w:bidi w:val="0"/>
              <w:spacing w:before="75" w:after="75" w:lineRule="auto" w:line="216"/>
              <w:tabs>
                <w:tab w:val="clear" w:pos="-2880"/>
                <w:tab w:val="clear" w:pos="-1410"/>
                <w:tab w:val="clear" w:pos="-690"/>
                <w:tab w:val="clear" w:pos="0"/>
                <w:tab w:val="left" w:pos="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80 650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40 770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58 000</w:t>
            </w:r>
          </w:p>
        </w:tc>
      </w:tr>
    </w:tbl>
    <w:p>
      <w:pPr>
        <w:bidi w:val="0"/>
      </w:pPr>
      <w:r>
        <w:rPr>
          <w:rFonts w:ascii="Tahoma" w:hAnsi="Tahoma" w:cs="Tahoma" w:eastAsia="Tahoma"/>
        </w:rPr>
        <w:t/>
      </w:r>
    </w:p>
    <w:p>
      <w:pPr>
        <w:pStyle w:val="41"/>
        <w:ind w:right="-60"/>
        <w:bidi w:val="0"/>
      </w:pPr>
      <w:r>
        <w:t/>
      </w:r>
    </w:p>
    <w:p>
      <w:pPr>
        <w:pStyle w:val="41"/>
        <w:jc w:val="left"/>
        <w:ind w:right="-60"/>
        <w:bidi w:val="0"/>
        <w:spacing w:after="60"/>
      </w:pPr>
      <w:r>
        <w:rPr>
          <w:sz w:val="14"/>
        </w:rPr>
        <w:t>SORGHUM – OPPERVLAK- EN TWEEDE PRODUKSIESKATTING: 2007/08-SEISOEN</w:t>
      </w:r>
    </w:p>
    <w:p>
      <w:pPr>
        <w:pStyle w:val="41"/>
        <w:jc w:val="left"/>
        <w:ind w:right="-60"/>
        <w:bidi w:val="0"/>
      </w:pPr>
      <w:r>
        <w:rPr>
          <w:sz w:val="14"/>
        </w:rPr>
        <w:t>SORGHUM – AREA PLANTED AND SECOND PRODUCTION FORECAST: 2007/08 SEASON</w:t>
      </w:r>
    </w:p>
    <w:p>
      <w:pPr>
        <w:pStyle w:val="41"/>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r>
      <w:tr>
        <w:tc>
          <w:tcPr>
            <w:tcW w:w="2360" w:type="dxa"/>
            <w:shd w:val="clear" w:color="auto" w:fill="FFFFFF"/>
          </w:tcPr>
          <w:p>
            <w:pPr>
              <w:pStyle w:val="41"/>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96 500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2 610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11 960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89 800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255 995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176 000</w:t>
            </w:r>
          </w:p>
        </w:tc>
      </w:tr>
    </w:tbl>
    <w:p>
      <w:pPr>
        <w:bidi w:val="0"/>
      </w:pPr>
      <w:r>
        <w:rPr>
          <w:rFonts w:ascii="Tahoma" w:hAnsi="Tahoma" w:cs="Tahoma" w:eastAsia="Tahoma"/>
        </w:rPr>
        <w:t/>
      </w:r>
    </w:p>
    <w:p>
      <w:pPr>
        <w:pStyle w:val="41"/>
        <w:ind w:right="-60"/>
        <w:bidi w:val="0"/>
      </w:pPr>
      <w:r>
        <w:t/>
      </w:r>
    </w:p>
    <w:p>
      <w:pPr>
        <w:pStyle w:val="41"/>
        <w:jc w:val="left"/>
        <w:ind w:right="-60"/>
        <w:bidi w:val="0"/>
      </w:pPr>
      <w:r>
        <w:t/>
      </w:r>
    </w:p>
    <w:p>
      <w:pPr>
        <w:pStyle w:val="41"/>
        <w:jc w:val="left"/>
        <w:ind w:right="-60"/>
        <w:bidi w:val="0"/>
      </w:pPr>
      <w:r>
        <w:t/>
      </w:r>
    </w:p>
    <w:p>
      <w:pPr>
        <w:pStyle w:val="41"/>
        <w:jc w:val="left"/>
        <w:ind w:right="-60"/>
        <w:bidi w:val="0"/>
        <w:spacing w:after="60"/>
      </w:pPr>
      <w:r>
        <w:rPr>
          <w:sz w:val="14"/>
        </w:rPr>
        <w:t>DRO</w:t>
      </w:r>
      <w:r>
        <w:rPr>
          <w:rFonts w:ascii="Arial" w:hAnsi="Arial" w:cs="Arial" w:eastAsia="Arial"/>
          <w:sz w:val="14"/>
        </w:rPr>
        <w:t>Ë</w:t>
      </w:r>
      <w:r>
        <w:rPr>
          <w:sz w:val="14"/>
        </w:rPr>
        <w:t>BONE – OPPERVLAK- EN TWEEDE PRODUKSIESKATTING: 2007/08-SEISOEN</w:t>
      </w:r>
    </w:p>
    <w:p>
      <w:pPr>
        <w:pStyle w:val="41"/>
        <w:jc w:val="left"/>
        <w:ind w:right="-60"/>
        <w:bidi w:val="0"/>
      </w:pPr>
      <w:r>
        <w:rPr>
          <w:sz w:val="14"/>
        </w:rPr>
        <w:t>DRY BEANS – AREA PLANTED AND SECOND PRODUCTION FORECAST: 2007/08 SEASON</w:t>
      </w:r>
    </w:p>
    <w:p>
      <w:pPr>
        <w:pStyle w:val="41"/>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b/>
                <w:sz w:val="14"/>
              </w:rPr>
              <w:t>2007/08</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c>
          <w:tcPr>
            <w:tcW w:w="1290" w:type="dxa"/>
            <w:shd w:val="clear" w:color="auto" w:fill="FFFFFF"/>
          </w:tcPr>
          <w:p>
            <w:pPr>
              <w:pStyle w:val="41"/>
              <w:ind w:right="-60"/>
              <w:bidi w:val="0"/>
              <w:spacing w:before="15"/>
            </w:pPr>
            <w:r>
              <w:rPr>
                <w:u w:val="none"/>
              </w:rPr>
              <w:t/>
            </w:r>
          </w:p>
          <w:p>
            <w:pPr>
              <w:pStyle w:val="41"/>
              <w:ind w:right="-60"/>
              <w:bidi w:val="0"/>
              <w:spacing w:before="15"/>
            </w:pPr>
            <w:r>
              <w:rPr>
                <w:sz w:val="14"/>
              </w:rPr>
              <w:t>2006/07</w:t>
            </w:r>
          </w:p>
        </w:tc>
      </w:tr>
      <w:tr>
        <w:tc>
          <w:tcPr>
            <w:tcW w:w="2360" w:type="dxa"/>
            <w:shd w:val="clear" w:color="auto" w:fill="FFFFFF"/>
          </w:tcPr>
          <w:p>
            <w:pPr>
              <w:pStyle w:val="41"/>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21 450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12 375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13 300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3 850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43 800</w:t>
            </w:r>
          </w:p>
        </w:tc>
        <w:tc>
          <w:tcPr>
            <w:tcW w:w="1290" w:type="dxa"/>
            <w:shd w:val="clear" w:color="auto" w:fill="FFFFFF"/>
          </w:tcPr>
          <w:p>
            <w:pPr>
              <w:jc w:val="right"/>
              <w:ind w:right="90"/>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58 975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50 725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39 545</w:t>
            </w:r>
          </w:p>
        </w:tc>
      </w:tr>
    </w:tbl>
    <w:p>
      <w:pPr>
        <w:bidi w:val="0"/>
      </w:pPr>
      <w:r>
        <w:rPr>
          <w:rFonts w:ascii="Tahoma" w:hAnsi="Tahoma" w:cs="Tahoma" w:eastAsia="Tahoma"/>
        </w:rPr>
        <w:t/>
      </w:r>
    </w:p>
    <w:p>
      <w:pPr>
        <w:pStyle w:val="41"/>
        <w:ind w:right="-60"/>
        <w:bidi w:val="0"/>
      </w:pPr>
      <w:r>
        <w:t/>
      </w:r>
    </w:p>
    <w:p>
      <w:r>
        <w:br w:type="page"/>
      </w:r>
    </w:p>
    <w:p>
      <w:pPr>
        <w:pStyle w:val="41"/>
        <w:ind w:right="-60"/>
        <w:bidi w:val="0"/>
      </w:pPr>
      <w:r>
        <w:rPr>
          <w:b/>
          <w:sz w:val="20"/>
        </w:rPr>
        <w:t/>
      </w:r>
    </w:p>
    <w:p>
      <w:pPr>
        <w:bidi w:val="0"/>
      </w:pPr>
      <w:r>
        <w:rPr>
          <w:rFonts w:ascii="Tahoma" w:hAnsi="Tahoma" w:cs="Tahoma" w:eastAsia="Tahoma"/>
        </w:rPr>
        <w:t/>
      </w:r>
    </w:p>
    <w:p>
      <w:pPr>
        <w:bidi w:val="0"/>
      </w:pPr>
      <w:r>
        <w:t/>
      </w:r>
    </w:p>
    <w:p>
      <w:pPr>
        <w:pStyle w:val="41"/>
        <w:ind w:right="-60"/>
        <w:bidi w:val="0"/>
      </w:pPr>
      <w:r>
        <w:rPr>
          <w:b/>
          <w:sz w:val="16"/>
        </w:rPr>
        <w:t>AREA ESTIMATE AND SECOND PRODUCTION FORECAST OF SUMMER CROPS/</w:t>
      </w:r>
      <w:r>
        <w:br/>
      </w:r>
      <w:r>
        <w:rPr>
          <w:b/>
          <w:sz w:val="16"/>
        </w:rPr>
        <w:t>OPPERVLAK- EN TWEEDE PRODUKSIESKATTING VIR SOMERGEWASSE</w:t>
      </w:r>
    </w:p>
    <w:p>
      <w:pPr>
        <w:pStyle w:val="41"/>
        <w:bidi w:val="0"/>
      </w:pPr>
      <w:r>
        <w:rPr>
          <w:b/>
          <w:sz w:val="16"/>
        </w:rPr>
        <w:t>27 MARCH / MAART 2008</w:t>
      </w:r>
    </w:p>
    <w:p>
      <w:pPr>
        <w:pStyle w:val="41"/>
        <w:bidi w:val="0"/>
      </w:pPr>
      <w:r>
        <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575"/>
        <w:gridCol w:w="540"/>
        <w:gridCol w:w="7740"/>
      </w:tblGrid>
      <w:tr>
        <w:tc>
          <w:tcPr>
            <w:tcW w:w="7580" w:type="dxa"/>
            <w:shd w:val="clear" w:color="auto" w:fill="FFFFFF"/>
          </w:tcPr>
          <w:p>
            <w:pPr>
              <w:jc w:val="both"/>
              <w:ind w:left="75" w:right="75"/>
              <w:bidi w:val="0"/>
              <w:spacing w:after="120"/>
            </w:pPr>
            <w:r>
              <w:rPr>
                <w:rFonts w:ascii="Tahoma" w:hAnsi="Tahoma" w:cs="Tahoma" w:eastAsia="Tahoma"/>
                <w:b/>
                <w:sz w:val="16"/>
              </w:rPr>
              <w:t>Estimates are based on conditions as at 27 March 2008.</w:t>
            </w:r>
          </w:p>
          <w:p>
            <w:pPr>
              <w:jc w:val="both"/>
              <w:ind w:left="75" w:right="75"/>
              <w:bidi w:val="0"/>
              <w:spacing w:after="120"/>
            </w:pPr>
            <w:r>
              <w:rPr>
                <w:rFonts w:ascii="Tahoma" w:hAnsi="Tahoma" w:cs="Tahoma" w:eastAsia="Tahoma"/>
                <w:b/>
                <w:u w:val="single"/>
                <w:sz w:val="16"/>
              </w:rPr>
              <w:t>Summer field crops – 2007/08 production season</w:t>
            </w:r>
          </w:p>
          <w:p>
            <w:pPr>
              <w:jc w:val="both"/>
              <w:ind w:left="75"/>
              <w:bidi w:val="0"/>
              <w:spacing w:before="135" w:after="135"/>
            </w:pPr>
            <w:r>
              <w:rPr>
                <w:rFonts w:ascii="Tahoma" w:hAnsi="Tahoma" w:cs="Tahoma" w:eastAsia="Tahoma"/>
                <w:b/>
                <w:u w:val="single"/>
                <w:sz w:val="16"/>
              </w:rPr>
              <w:t>Commercial maize</w:t>
            </w:r>
            <w:r>
              <w:rPr>
                <w:rFonts w:ascii="Tahoma" w:hAnsi="Tahoma" w:cs="Tahoma" w:eastAsia="Tahoma"/>
                <w:b/>
                <w:sz w:val="16"/>
              </w:rPr>
              <w:t>:</w:t>
            </w:r>
            <w:r>
              <w:rPr>
                <w:rFonts w:ascii="Tahoma" w:hAnsi="Tahoma" w:cs="Tahoma" w:eastAsia="Tahoma"/>
                <w:sz w:val="16"/>
              </w:rPr>
              <w:t xml:space="preserve">  The size of the expected commercial maize crop has been set at 10,765 million tons, which is 1,74% higher than the previous forecast of 10,581 million tons.  The main reason for the increase in the forecast of the maize crop is that the area planted, as reported by the ARC-led Consortium, suggested that the area for the Free State had previously been under-estimated and therefore had to be adjusted upwards to 1,170 mill. ha, bringing the total area planted to maize to 2,799 mill ha.</w:t>
            </w:r>
          </w:p>
          <w:p>
            <w:pPr>
              <w:jc w:val="both"/>
              <w:ind w:left="75"/>
              <w:bidi w:val="0"/>
              <w:spacing w:after="120"/>
            </w:pPr>
            <w:r>
              <w:rPr>
                <w:rFonts w:ascii="Tahoma" w:hAnsi="Tahoma" w:cs="Tahoma" w:eastAsia="Tahoma"/>
                <w:sz w:val="16"/>
              </w:rPr>
              <w:t>The area estimate for white maize is 1,737 mill. ha, and for yellow maize it is 1,062 mill. ha.</w:t>
            </w:r>
          </w:p>
          <w:p>
            <w:pPr>
              <w:jc w:val="both"/>
              <w:ind w:left="75" w:right="75"/>
              <w:bidi w:val="0"/>
              <w:spacing w:after="120"/>
            </w:pPr>
            <w:r>
              <w:rPr>
                <w:rFonts w:ascii="Tahoma" w:hAnsi="Tahoma" w:cs="Tahoma" w:eastAsia="Tahoma"/>
                <w:sz w:val="16"/>
              </w:rPr>
              <w:t>The ratio of white to yellow maize plantings is 62:38 as against the previous seasons’ 64:36.</w:t>
            </w:r>
          </w:p>
          <w:p>
            <w:pPr>
              <w:jc w:val="both"/>
              <w:ind w:left="75" w:right="75"/>
              <w:bidi w:val="0"/>
              <w:spacing w:after="120"/>
            </w:pPr>
            <w:r>
              <w:rPr>
                <w:rFonts w:ascii="Tahoma" w:hAnsi="Tahoma" w:cs="Tahoma" w:eastAsia="Tahoma"/>
                <w:sz w:val="16"/>
              </w:rPr>
              <w:t>The production forecast of white maize is 6,429 mill. tons, which is 1,98% more than the 6,304 mill. tons of the previous forecast.  The yield for white maize is 3,70 t/ha as against 3,68 t/ha of the previous forecast.  In the case of yellow maize the production forecast is 4,336 mill. tons, which is 1,38% more than the 4,277 mill. tons of the previous forecast.  The yield for yellow maize is 4,08 t/ha as against 4,14 t/ha of the previous forecast.</w:t>
            </w:r>
          </w:p>
          <w:p>
            <w:pPr>
              <w:jc w:val="both"/>
              <w:ind w:left="75" w:right="75"/>
              <w:bidi w:val="0"/>
              <w:spacing w:after="120"/>
            </w:pPr>
            <w:r>
              <w:rPr>
                <w:rFonts w:ascii="Tahoma" w:hAnsi="Tahoma" w:cs="Tahoma" w:eastAsia="Tahoma"/>
                <w:b/>
                <w:u w:val="single"/>
                <w:sz w:val="16"/>
              </w:rPr>
              <w:t>Sunflower seed</w:t>
            </w:r>
            <w:r>
              <w:rPr>
                <w:rFonts w:ascii="Tahoma" w:hAnsi="Tahoma" w:cs="Tahoma" w:eastAsia="Tahoma"/>
                <w:sz w:val="16"/>
              </w:rPr>
              <w:t>: The production forecast for sunflower seed is 769  080 tons, which is 11,96% more than the 686  920 tons of the previous forecast. The estimated area planted to sunflower seed was adjusted upward to 549  300 ha.  The expected yield is 1,40 t/ha as against 1,29 t/ha of the previous forecast.</w:t>
            </w:r>
          </w:p>
          <w:p>
            <w:pPr>
              <w:jc w:val="both"/>
              <w:ind w:left="75" w:right="75"/>
              <w:bidi w:val="0"/>
              <w:spacing w:after="120"/>
            </w:pPr>
            <w:r>
              <w:rPr>
                <w:rFonts w:ascii="Tahoma" w:hAnsi="Tahoma" w:cs="Tahoma" w:eastAsia="Tahoma"/>
                <w:b/>
                <w:u w:val="single"/>
                <w:sz w:val="16"/>
              </w:rPr>
              <w:t>Other crops</w:t>
            </w:r>
            <w:r>
              <w:rPr>
                <w:rFonts w:ascii="Tahoma" w:hAnsi="Tahoma" w:cs="Tahoma" w:eastAsia="Tahoma"/>
                <w:sz w:val="16"/>
              </w:rPr>
              <w:t xml:space="preserve">: The production forecast for </w:t>
            </w:r>
            <w:r>
              <w:rPr>
                <w:rFonts w:ascii="Tahoma" w:hAnsi="Tahoma" w:cs="Tahoma" w:eastAsia="Tahoma"/>
                <w:b/>
                <w:sz w:val="16"/>
              </w:rPr>
              <w:t>soya-beans</w:t>
            </w:r>
            <w:r>
              <w:rPr>
                <w:rFonts w:ascii="Tahoma" w:hAnsi="Tahoma" w:cs="Tahoma" w:eastAsia="Tahoma"/>
                <w:sz w:val="16"/>
              </w:rPr>
              <w:t xml:space="preserve"> is 297 250 tons, which is 5,79% more than the 280  970 tons of the previous forecast.  The area planted to soya-beans was adjusted upward to 171  800 ha.  The expected yield is 1,73 t/ha as against 1,69 t/ha of the previous forecast.</w:t>
            </w:r>
          </w:p>
          <w:p>
            <w:pPr>
              <w:jc w:val="both"/>
              <w:ind w:left="75" w:right="75"/>
              <w:bidi w:val="0"/>
              <w:spacing w:after="120"/>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is 80  650 tons, which is 2,66% higher than the 78  560 tons of the previous forecast.  For groundnuts the area estimate was adjusted upward to 54  200 ha.  The expected yield is 1,49 t/ha as against 1,52 t/ha of the previous forecast.</w:t>
            </w:r>
          </w:p>
          <w:p>
            <w:pPr>
              <w:jc w:val="both"/>
              <w:ind w:left="75" w:right="75"/>
              <w:bidi w:val="0"/>
              <w:spacing w:after="120"/>
            </w:pP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is 255  995 tons – 8,77% higher than the 235  360 tons of the previous forecast. The area estimate for sorghum was adjusted upward to 89  800 ha. The expected yield is 2,85 t/ha as against 2,83 t/ha of the previous forecast.</w:t>
            </w:r>
          </w:p>
          <w:p>
            <w:pPr>
              <w:jc w:val="both"/>
              <w:ind w:left="75" w:right="75"/>
              <w:bidi w:val="0"/>
              <w:spacing w:after="120"/>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production forecast for dry beans is 58  975 tons, 3,35% more than the 57  065 tons of the previous forecast.  The estimated area planted was left unchanged at 43  800 ha.  The expected yield is 1,35 t/ha as against 1,30 t/ha of the previous forecast.</w:t>
            </w:r>
          </w:p>
          <w:p>
            <w:pPr>
              <w:jc w:val="both"/>
              <w:ind w:left="90" w:right="90"/>
              <w:bidi w:val="0"/>
              <w:spacing w:after="120"/>
            </w:pPr>
            <w:r>
              <w:rPr>
                <w:rFonts w:ascii="Tahoma" w:hAnsi="Tahoma" w:cs="Tahoma" w:eastAsia="Tahoma"/>
                <w:sz w:val="16"/>
              </w:rPr>
              <w:t>Please note that the third production forecast for summer crops for 2007/08, as well as the intentions of producers to plant winter cereals for 2008, will be released on 24  April 2008.  Figures for maize relating to subsistence agriculture will be made available on 24 April 2008.</w:t>
            </w:r>
          </w:p>
          <w:p>
            <w:pPr>
              <w:jc w:val="both"/>
              <w:ind w:left="90" w:right="90"/>
              <w:bidi w:val="0"/>
              <w:spacing w:after="120"/>
            </w:pPr>
            <w:r>
              <w:rPr>
                <w:rFonts w:ascii="Tahoma" w:hAnsi="Tahoma" w:cs="Tahoma" w:eastAsia="Tahoma"/>
                <w:sz w:val="16"/>
              </w:rPr>
              <w:t xml:space="preserve">Information is available on the internet at </w:t>
            </w:r>
            <w:hyperlink r:id="hrId3">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or </w:t>
            </w:r>
            <w:hyperlink r:id="hrId4">
              <w:r>
                <w:rPr>
                  <w:rFonts w:ascii="Tahoma" w:hAnsi="Tahoma" w:cs="Tahoma" w:eastAsia="Tahoma"/>
                  <w:sz w:val="16"/>
                </w:rPr>
                <w:t>http://www.sagis.org.za</w:t>
              </w:r>
            </w:hyperlink>
            <w:r>
              <w:rPr>
                <w:rFonts w:ascii="Tahoma" w:hAnsi="Tahoma" w:cs="Tahoma" w:eastAsia="Tahoma"/>
                <w:sz w:val="16"/>
              </w:rPr>
              <w:t>, as from 14:30 on the date of the relevant meeting of the Crop Estimates Committee.</w:t>
            </w:r>
          </w:p>
        </w:tc>
        <w:tc>
          <w:tcPr>
            <w:tcW w:w="540" w:type="dxa"/>
            <w:shd w:val="clear" w:color="auto" w:fill="FFFFFF"/>
          </w:tcPr>
          <w:p>
            <w:pPr>
              <w:jc w:val="both"/>
              <w:ind w:left="90" w:right="90"/>
              <w:bidi w:val="0"/>
              <w:spacing w:after="120"/>
            </w:pPr>
            <w:r>
              <w:rPr>
                <w:rFonts w:ascii="Tahoma" w:hAnsi="Tahoma" w:cs="Tahoma" w:eastAsia="Tahoma"/>
              </w:rPr>
              <w:t/>
            </w:r>
          </w:p>
          <w:p>
            <w:pPr>
              <w:jc w:val="both"/>
              <w:bidi w:val="0"/>
              <w:spacing w:after="120"/>
            </w:pPr>
            <w:r>
              <w:rPr>
                <w:rFonts w:ascii="Tahoma" w:hAnsi="Tahoma" w:cs="Tahoma" w:eastAsia="Tahoma"/>
              </w:rPr>
              <w:t/>
            </w:r>
          </w:p>
        </w:tc>
        <w:tc>
          <w:tcPr>
            <w:tcW w:w="7740" w:type="dxa"/>
            <w:shd w:val="clear" w:color="auto" w:fill="FFFFFF"/>
          </w:tcPr>
          <w:p>
            <w:pPr>
              <w:pStyle w:val="16"/>
              <w:jc w:val="both"/>
              <w:ind w:left="75" w:right="75"/>
              <w:bidi w:val="0"/>
              <w:tabs>
                <w:tab w:val="left" w:pos="6645"/>
              </w:tabs>
            </w:pPr>
            <w:r>
              <w:rPr>
                <w:rFonts w:ascii="Tahoma" w:hAnsi="Tahoma" w:cs="Tahoma" w:eastAsia="Tahoma"/>
                <w:b/>
                <w:sz w:val="16"/>
              </w:rPr>
              <w:t>Skatting is gebaseer op toestande soos en met 27 Maart 2008.</w:t>
            </w:r>
          </w:p>
          <w:p>
            <w:pPr>
              <w:pStyle w:val="16"/>
              <w:jc w:val="both"/>
              <w:ind w:left="75" w:right="75"/>
              <w:bidi w:val="0"/>
              <w:tabs>
                <w:tab w:val="left" w:pos="6645"/>
              </w:tabs>
            </w:pPr>
            <w:r>
              <w:rPr>
                <w:rFonts w:ascii="Tahoma" w:hAnsi="Tahoma" w:cs="Tahoma" w:eastAsia="Tahoma"/>
                <w:b/>
                <w:u w:val="single"/>
                <w:sz w:val="16"/>
              </w:rPr>
              <w:t>Somergewasse – 2007/08 produksie-seisoen</w:t>
            </w:r>
          </w:p>
          <w:p>
            <w:pPr>
              <w:ind w:left="75"/>
              <w:bidi w:val="0"/>
              <w:spacing w:before="135" w:after="135"/>
            </w:pPr>
            <w:r>
              <w:rPr>
                <w:rFonts w:ascii="Tahoma" w:hAnsi="Tahoma" w:cs="Tahoma" w:eastAsia="Tahoma"/>
                <w:b/>
                <w:u w:val="single"/>
                <w:sz w:val="16"/>
              </w:rPr>
              <w:t>Kommersiële mielies</w:t>
            </w:r>
            <w:r>
              <w:rPr>
                <w:rFonts w:ascii="Tahoma" w:hAnsi="Tahoma" w:cs="Tahoma" w:eastAsia="Tahoma"/>
                <w:b/>
                <w:sz w:val="16"/>
              </w:rPr>
              <w:t xml:space="preserve">: </w:t>
            </w:r>
            <w:r>
              <w:rPr>
                <w:rFonts w:ascii="Tahoma" w:hAnsi="Tahoma" w:cs="Tahoma" w:eastAsia="Tahoma"/>
                <w:sz w:val="16"/>
              </w:rPr>
              <w:t>Die grootte van die verwagte kommersiële mielieoes is op 10,765 milj. ton gestel, wat 1,74% hoër is as die vorige skatting van 10,581 milj. ton.  Die hoofrede vir die styging in die skatting van die mielie-oes is dat die oppervlakte beplant, soos deur die LNR-geleide Konsortium gerapporteer, daarop gedui het dat die oppervlakte vir die Vrystaat voorheen onderskat is en daarom opwaarts aangepas na 1,170 milj. ha wat die totale aanplantings van mielies op 2,799 milj. ha te staan bring.</w:t>
            </w:r>
          </w:p>
          <w:p>
            <w:pPr>
              <w:jc w:val="both"/>
              <w:ind w:left="75" w:right="75"/>
              <w:bidi w:val="0"/>
              <w:spacing w:after="120"/>
              <w:tabs>
                <w:tab w:val="left" w:pos="7095"/>
              </w:tabs>
            </w:pPr>
            <w:r>
              <w:rPr>
                <w:rFonts w:ascii="Tahoma" w:hAnsi="Tahoma" w:cs="Tahoma" w:eastAsia="Tahoma"/>
                <w:sz w:val="16"/>
              </w:rPr>
              <w:t>Die oppervlakte onder witmielies is 1,737 milj. ha en vir geelmielies is dit 1,062 mill. ha.</w:t>
            </w:r>
          </w:p>
          <w:p>
            <w:pPr>
              <w:jc w:val="both"/>
              <w:ind w:left="75" w:right="75"/>
              <w:bidi w:val="0"/>
              <w:spacing w:after="120"/>
              <w:tabs>
                <w:tab w:val="left" w:pos="6645"/>
                <w:tab w:val="left" w:pos="7095"/>
              </w:tabs>
            </w:pPr>
            <w:r>
              <w:rPr>
                <w:rFonts w:ascii="Tahoma" w:hAnsi="Tahoma" w:cs="Tahoma" w:eastAsia="Tahoma"/>
                <w:sz w:val="16"/>
              </w:rPr>
              <w:t>Die verhouding van witmielie- tot geelmielie-aanplantings is 62:38 teenoor die vorige seisoen se 64:36..</w:t>
            </w:r>
          </w:p>
          <w:p>
            <w:pPr>
              <w:jc w:val="both"/>
              <w:ind w:left="75" w:right="75"/>
              <w:bidi w:val="0"/>
              <w:spacing w:after="120"/>
              <w:tabs>
                <w:tab w:val="left" w:pos="6645"/>
                <w:tab w:val="left" w:pos="7095"/>
              </w:tabs>
            </w:pPr>
            <w:r>
              <w:rPr>
                <w:rFonts w:ascii="Tahoma" w:hAnsi="Tahoma" w:cs="Tahoma" w:eastAsia="Tahoma"/>
                <w:sz w:val="16"/>
              </w:rPr>
              <w:t>Die produksieskatting van witmielies is 6,429 milj. ton, 1,98% meer as die 6,304 milj. ton van die vorige skatting.  Die opbrengs van witmielies is 3,70 t/ha teenoor die 3,68 t/ha van die vorige skatting.  In die geval van geelmielies is die produksieskatting 4,336 milj. ton wat 1,38% meer is as die 4,277 milj. ton van die vorige maand. Die opbrengs van geelmielies is 4,08 t/ha teenoor die 4,14 t/ha van die vorige skatting.</w:t>
            </w:r>
          </w:p>
          <w:p>
            <w:pPr>
              <w:jc w:val="both"/>
              <w:ind w:left="75" w:right="75"/>
              <w:bidi w:val="0"/>
              <w:spacing w:after="120"/>
              <w:tabs>
                <w:tab w:val="left" w:pos="6645"/>
                <w:tab w:val="left" w:pos="709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769  080 ton, wat 11,96% meer is as die 686 920 ton van die vorige skatting.  Die geskatte oppervlakte beplant met sonneblomsaad is opwaarts aangepas na 549  300 ha.  Die verwagte opbrengs is 1,40 t/ha teenoor die 1,29 t/ha van die vorige skatting.</w:t>
            </w:r>
          </w:p>
          <w:p>
            <w:pPr>
              <w:jc w:val="both"/>
              <w:ind w:left="75" w:right="75"/>
              <w:bidi w:val="0"/>
              <w:spacing w:after="120"/>
              <w:tabs>
                <w:tab w:val="left" w:pos="6645"/>
                <w:tab w:val="left" w:pos="7095"/>
              </w:tabs>
            </w:pPr>
            <w:r>
              <w:rPr>
                <w:rFonts w:ascii="Tahoma" w:hAnsi="Tahoma" w:cs="Tahoma" w:eastAsia="Tahoma"/>
                <w:b/>
                <w:u w:val="single"/>
                <w:sz w:val="16"/>
              </w:rPr>
              <w:t>Ander gewasse:</w:t>
            </w:r>
            <w:r>
              <w:rPr>
                <w:rFonts w:ascii="Tahoma" w:hAnsi="Tahoma" w:cs="Tahoma" w:eastAsia="Tahoma"/>
                <w:sz w:val="16"/>
              </w:rPr>
              <w:t xml:space="preserve"> Die produksieskatting van </w:t>
            </w:r>
            <w:r>
              <w:rPr>
                <w:rFonts w:ascii="Tahoma" w:hAnsi="Tahoma" w:cs="Tahoma" w:eastAsia="Tahoma"/>
                <w:b/>
                <w:sz w:val="16"/>
              </w:rPr>
              <w:t>sojabone</w:t>
            </w:r>
            <w:r>
              <w:rPr>
                <w:rFonts w:ascii="Tahoma" w:hAnsi="Tahoma" w:cs="Tahoma" w:eastAsia="Tahoma"/>
                <w:sz w:val="16"/>
              </w:rPr>
              <w:t xml:space="preserve"> is 297  250 ton, wat 5,79% meer is as die 280  970 ton van die vorige skatting.  Die oppervlakte beplant met sojabone is is opwaarts aangepas na 171  800 ha.  Die verwagte opbrengs is 1,73 t/ha teenoor die 1,69 t/ha van die vorige skatting.</w:t>
            </w:r>
          </w:p>
          <w:p>
            <w:pPr>
              <w:jc w:val="both"/>
              <w:ind w:left="75" w:right="75"/>
              <w:bidi w:val="0"/>
              <w:spacing w:after="120"/>
              <w:tabs>
                <w:tab w:val="left" w:pos="6645"/>
                <w:tab w:val="left" w:pos="709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is 80  650 ton – 2,66% hoër as die 78  560 ton van die vorige skatting.  Vir grondbone is die oppervlakteskatting opwaarts aangepas na 54  200 ha.  Die verwagte opbrengs is 1,49 t/ha teenoor die 1,52 t/ha van die vorige skatting.</w:t>
            </w:r>
          </w:p>
          <w:p>
            <w:pPr>
              <w:jc w:val="both"/>
              <w:ind w:left="75" w:right="75"/>
              <w:bidi w:val="0"/>
              <w:spacing w:after="120"/>
              <w:tabs>
                <w:tab w:val="left" w:pos="6645"/>
                <w:tab w:val="left" w:pos="7095"/>
              </w:tabs>
            </w:pPr>
            <w:r>
              <w:rPr>
                <w:rFonts w:ascii="Tahoma" w:hAnsi="Tahoma" w:cs="Tahoma" w:eastAsia="Tahoma"/>
                <w:sz w:val="16"/>
              </w:rPr>
              <w:t xml:space="preserve">Die produksieskatting van </w:t>
            </w:r>
            <w:r>
              <w:rPr>
                <w:rFonts w:ascii="Tahoma" w:hAnsi="Tahoma" w:cs="Tahoma" w:eastAsia="Tahoma"/>
                <w:b/>
                <w:sz w:val="16"/>
              </w:rPr>
              <w:t>sorghum</w:t>
            </w:r>
            <w:r>
              <w:rPr>
                <w:rFonts w:ascii="Tahoma" w:hAnsi="Tahoma" w:cs="Tahoma" w:eastAsia="Tahoma"/>
                <w:sz w:val="16"/>
              </w:rPr>
              <w:t xml:space="preserve"> is 255  995 ton – 8,77% hoër as die 235  360 ton van die vorige skatting. Die oppervlakskatting vir sorghum is opwaarts aangepas na 89  800 ha.  Die verwagte opbrengs is 2,85 t/ha teenoor die 2,83 t/ha van die vorige skatting.</w:t>
            </w:r>
          </w:p>
          <w:p>
            <w:pPr>
              <w:jc w:val="both"/>
              <w:ind w:left="75" w:right="75"/>
              <w:bidi w:val="0"/>
              <w:spacing w:after="120"/>
              <w:tabs>
                <w:tab w:val="left" w:pos="6645"/>
                <w:tab w:val="left" w:pos="7095"/>
              </w:tabs>
            </w:pPr>
            <w:r>
              <w:rPr>
                <w:rFonts w:ascii="Tahoma" w:hAnsi="Tahoma" w:cs="Tahoma" w:eastAsia="Tahoma"/>
                <w:sz w:val="16"/>
              </w:rPr>
              <w:t xml:space="preserve">In die geval van </w:t>
            </w:r>
            <w:r>
              <w:rPr>
                <w:rFonts w:ascii="Tahoma" w:hAnsi="Tahoma" w:cs="Tahoma" w:eastAsia="Tahoma"/>
                <w:b/>
                <w:sz w:val="16"/>
              </w:rPr>
              <w:t xml:space="preserve">droëbone </w:t>
            </w:r>
            <w:r>
              <w:rPr>
                <w:rFonts w:ascii="Tahoma" w:hAnsi="Tahoma" w:cs="Tahoma" w:eastAsia="Tahoma"/>
                <w:sz w:val="16"/>
              </w:rPr>
              <w:t>is die produksieskatting 58  975 ton, 3,35% meer as die 57  065 ton van die vorige skatting.  Die geskatte oppervlakte beplant is onveranderd gelaat op 43  800 ha.  Die verwagte opbrengs is 1,35 t/ha teenoor die 1,30 t/ha van die vorige skatting.</w:t>
            </w:r>
          </w:p>
          <w:p>
            <w:pPr>
              <w:jc w:val="both"/>
              <w:ind w:left="90" w:right="90"/>
              <w:bidi w:val="0"/>
              <w:spacing w:after="120"/>
              <w:tabs>
                <w:tab w:val="left" w:pos="6645"/>
              </w:tabs>
            </w:pPr>
            <w:r>
              <w:rPr>
                <w:rFonts w:ascii="Tahoma" w:hAnsi="Tahoma" w:cs="Tahoma" w:eastAsia="Tahoma"/>
                <w:sz w:val="16"/>
              </w:rPr>
              <w:t>Neem asseblief kennis dat die derde produksieskatting vir somergewasse vir 2007/08, sowel as die voornemens van produsente om wintergewasse te plant vir 2008, op 24  April 2008 vrygestel sal word. Syfers m.b.t. mielies vir bestaanslandbou sal  op 24 April 2008 vrygestel word.</w:t>
            </w:r>
          </w:p>
          <w:p>
            <w:pPr>
              <w:jc w:val="both"/>
              <w:ind w:left="90" w:right="90"/>
              <w:bidi w:val="0"/>
              <w:spacing w:after="120"/>
              <w:tabs>
                <w:tab w:val="left" w:pos="6645"/>
              </w:tabs>
            </w:pPr>
            <w:r>
              <w:rPr>
                <w:rFonts w:ascii="Tahoma" w:hAnsi="Tahoma" w:cs="Tahoma" w:eastAsia="Tahoma"/>
                <w:sz w:val="16"/>
              </w:rPr>
              <w:t xml:space="preserve">Inligting is beskikbaar op die internet by </w:t>
            </w:r>
            <w:hyperlink r:id="hrId5">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of by </w:t>
            </w:r>
            <w:hyperlink r:id="hrId6">
              <w:r>
                <w:rPr>
                  <w:rFonts w:ascii="Tahoma" w:hAnsi="Tahoma" w:cs="Tahoma" w:eastAsia="Tahoma"/>
                  <w:sz w:val="16"/>
                </w:rPr>
                <w:t>http://www.sagis.org.za</w:t>
              </w:r>
            </w:hyperlink>
            <w:r>
              <w:rPr>
                <w:rFonts w:ascii="Tahoma" w:hAnsi="Tahoma" w:cs="Tahoma" w:eastAsia="Tahoma"/>
                <w:sz w:val="16"/>
              </w:rPr>
              <w:t>, vanaf 14:30 op die dag van die toepaslike vergadering van die Oesskattingskomitee.</w:t>
            </w:r>
          </w:p>
        </w:tc>
      </w:tr>
    </w:tbl>
    <w:p>
      <w:pPr>
        <w:bidi w:val="0"/>
      </w:pPr>
      <w:r>
        <w:rPr>
          <w:rFonts w:ascii="Tahoma" w:hAnsi="Tahoma" w:cs="Tahoma" w:eastAsia="Tahoma"/>
        </w:rPr>
        <w:t/>
      </w:r>
    </w:p>
    <w:p>
      <w:pPr>
        <w:pStyle w:val="41"/>
        <w:jc w:val="left"/>
        <w:bidi w:val="0"/>
        <w:spacing w:after="120"/>
      </w:pPr>
      <w:r>
        <w:t/>
      </w:r>
    </w:p>
    <w:p>
      <w:pPr>
        <w:bidi w:val="0"/>
      </w:pPr>
      <w:r>
        <w:rPr>
          <w:rFonts w:ascii="Tahoma" w:hAnsi="Tahoma" w:cs="Tahoma" w:eastAsia="Tahoma"/>
        </w:rPr>
        <w:t/>
      </w:r>
    </w:p>
    <w:p>
      <w:pPr>
        <w:bidi w:val="0"/>
      </w:pPr>
      <w:r>
        <w:t/>
      </w:r>
    </w:p>
    <w:p>
      <w:pPr>
        <w:pStyle w:val="41"/>
        <w:jc w:val="left"/>
        <w:bidi w:val="0"/>
        <w:spacing w:after="12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ahoma" w:hAnsi="Tahoma" w:cs="Tahoma" w:eastAsia="Tahoma"/>
    </w:rPr>
  </w:style>
  <w:style w:type="paragraph" w:styleId="1">
    <w:name w:val="Contents 2"/>
    <w:basedOn w:val="38"/>
    <w:next w:val="38"/>
    <w:pPr>
      <w:ind w:left="1440" w:hanging="435"/>
    </w:pPr>
    <w:rPr>
      <w:rFonts w:ascii="Tahoma" w:hAnsi="Tahoma" w:cs="Tahoma" w:eastAsia="Tahoma"/>
    </w:rPr>
  </w:style>
  <w:style w:type="paragraph" w:styleId="2">
    <w:name w:val="Contents 3"/>
    <w:basedOn w:val="38"/>
    <w:next w:val="38"/>
    <w:pPr>
      <w:ind w:left="2160" w:hanging="435"/>
    </w:pPr>
    <w:rPr>
      <w:rFonts w:ascii="Tahoma" w:hAnsi="Tahoma" w:cs="Tahoma" w:eastAsia="Tahoma"/>
    </w:rPr>
  </w:style>
  <w:style w:type="paragraph" w:styleId="3">
    <w:name w:val="Lower Roman List"/>
    <w:basedOn w:val="38"/>
    <w:pPr>
      <w:ind w:left="720" w:hanging="435"/>
    </w:pPr>
    <w:rPr>
      <w:rFonts w:ascii="Tahoma" w:hAnsi="Tahoma" w:cs="Tahoma" w:eastAsia="Tahoma"/>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Numbered Heading 2"/>
    <w:basedOn w:val="29"/>
    <w:next w:val="38"/>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8"/>
    <w:pPr>
      <w:spacing w:after="120" w:lineRule="auto" w:line="480"/>
    </w:pPr>
  </w:style>
  <w:style w:type="paragraph" w:styleId="9">
    <w:name w:val="Contents 4"/>
    <w:basedOn w:val="38"/>
    <w:next w:val="38"/>
    <w:pPr>
      <w:ind w:left="2880" w:hanging="435"/>
    </w:pPr>
    <w:rPr>
      <w:rFonts w:ascii="Tahoma" w:hAnsi="Tahoma" w:cs="Tahoma" w:eastAsia="Tahoma"/>
    </w:rPr>
  </w:style>
  <w:style w:type="paragraph" w:styleId="10">
    <w:name w:val="Numbered Heading 3"/>
    <w:basedOn w:val="32"/>
    <w:next w:val="38"/>
    <w:pPr>
      <w:spacing w:before="0" w:after="0"/>
      <w:tabs>
        <w:tab w:val="left" w:pos="435"/>
        <w:tab w:val="clear" w:pos="0"/>
      </w:tabs>
    </w:pPr>
    <w:rPr>
      <w:rFonts w:ascii="Tahoma" w:hAnsi="Tahoma" w:cs="Tahoma" w:eastAsia="Tahoma"/>
      <w:b w:val="0"/>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Header"/>
    <w:basedOn w:val="38"/>
    <w:pPr>
      <w:tabs>
        <w:tab w:val="center" w:pos="4320"/>
        <w:tab w:val="center" w:pos="8640"/>
        <w:tab w:val="clear" w:pos="0"/>
      </w:tabs>
    </w:pPr>
    <w:rPr>
      <w:sz w:val="20"/>
    </w:rPr>
  </w:style>
  <w:style w:type="paragraph" w:styleId="14">
    <w:name w:val="Triangle List"/>
    <w:pPr>
      <w:ind w:left="720" w:hanging="435"/>
    </w:pPr>
    <w:rPr>
      <w:rFonts w:ascii="Tahoma" w:hAnsi="Tahoma" w:cs="Tahoma" w:eastAsia="Tahoma"/>
      <w:sz w:val="24"/>
    </w:rPr>
  </w:style>
  <w:style w:type="paragraph" w:styleId="15">
    <w:name w:val="Square List"/>
    <w:pPr>
      <w:ind w:left="720" w:hanging="435"/>
    </w:pPr>
    <w:rPr>
      <w:rFonts w:ascii="Tahoma" w:hAnsi="Tahoma" w:cs="Tahoma" w:eastAsia="Tahoma"/>
      <w:sz w:val="24"/>
    </w:rPr>
  </w:style>
  <w:style w:type="paragraph" w:styleId="16">
    <w:name w:val="Body Text"/>
    <w:basedOn w:val="38"/>
    <w:pPr>
      <w:spacing w:after="12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8"/>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Body Text Indent"/>
    <w:basedOn w:val="38"/>
    <w:pPr>
      <w:ind w:left="285"/>
      <w:spacing w:after="120"/>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spacing w:before="435" w:after="60"/>
    </w:pPr>
    <w:rPr>
      <w:rFonts w:ascii="Arial" w:hAnsi="Arial" w:cs="Arial" w:eastAsia="Arial"/>
      <w:b/>
    </w:rPr>
  </w:style>
  <w:style w:type="paragraph" w:styleId="32">
    <w:name w:val="Heading 3"/>
    <w:basedOn w:val="38"/>
    <w:next w:val="38"/>
    <w:pPr>
      <w:spacing w:before="435" w:after="60"/>
    </w:pPr>
    <w:rPr>
      <w:rFonts w:ascii="Arial" w:hAnsi="Arial" w:cs="Arial" w:eastAsia="Arial"/>
      <w:b/>
    </w:rPr>
  </w:style>
  <w:style w:type="paragraph" w:styleId="33">
    <w:name w:val="Lower Case List"/>
    <w:basedOn w:val="11"/>
  </w:style>
  <w:style w:type="paragraph" w:styleId="34">
    <w:name w:val="Heading 7"/>
    <w:basedOn w:val="38"/>
    <w:next w:val="38"/>
    <w:pPr>
      <w:keepNext/>
      <w:spacing w:before="120" w:after="120"/>
    </w:pPr>
    <w:rPr>
      <w:rFonts w:ascii="Tahoma" w:hAnsi="Tahoma" w:cs="Tahoma" w:eastAsia="Tahoma"/>
      <w:b/>
      <w:sz w:val="48"/>
    </w:rPr>
  </w:style>
  <w:style w:type="paragraph" w:styleId="35">
    <w:name w:val="Plain Text"/>
    <w:basedOn w:val="38"/>
    <w:rPr>
      <w:rFonts w:ascii="Courier New" w:hAnsi="Courier New" w:cs="Courier New" w:eastAsia="Courier New"/>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sz w:val="24"/>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pPr>
    <w:rPr>
      <w:rFonts w:ascii="Tahoma" w:hAnsi="Tahoma" w:cs="Tahoma" w:eastAsia="Tahoma"/>
      <w:u w:val="single"/>
    </w:rPr>
  </w:style>
  <w:style w:type="paragraph" w:styleId="42">
    <w:name w:val="Chapter Heading"/>
    <w:basedOn w:val="4"/>
    <w:next w:val="38"/>
    <w:pPr>
      <w:tabs>
        <w:tab w:val="clear" w:pos="0"/>
        <w:tab w:val="clear" w:pos="435"/>
        <w:tab w:val="left" w:pos="1590"/>
      </w:tabs>
    </w:pPr>
  </w:style>
  <w:style w:type="paragraph" w:styleId="43">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